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05639F" w:rsidRPr="0005639F" w:rsidTr="0005639F">
        <w:trPr>
          <w:tblCellSpacing w:w="15" w:type="dxa"/>
        </w:trPr>
        <w:tc>
          <w:tcPr>
            <w:tcW w:w="0" w:type="auto"/>
            <w:vAlign w:val="center"/>
            <w:hideMark/>
          </w:tcPr>
          <w:tbl>
            <w:tblPr>
              <w:tblW w:w="9600" w:type="dxa"/>
              <w:tblCellSpacing w:w="15" w:type="dxa"/>
              <w:tblCellMar>
                <w:top w:w="15" w:type="dxa"/>
                <w:left w:w="15" w:type="dxa"/>
                <w:bottom w:w="15" w:type="dxa"/>
                <w:right w:w="15" w:type="dxa"/>
              </w:tblCellMar>
              <w:tblLook w:val="04A0" w:firstRow="1" w:lastRow="0" w:firstColumn="1" w:lastColumn="0" w:noHBand="0" w:noVBand="1"/>
            </w:tblPr>
            <w:tblGrid>
              <w:gridCol w:w="960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2219752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Colloid and Surface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Todd Krauss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Fen Qiu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Richard Eisenberg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Zhiji Han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Patrick L. Holland</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Cunming Liu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Jeffrey Peterson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 Univ of Rochester, Rochester, NY, United States. </w:t>
                  </w:r>
                  <w:r w:rsidRPr="0005639F">
                    <w:rPr>
                      <w:rFonts w:ascii="Times New Roman" w:eastAsia="Times New Roman" w:hAnsi="Times New Roman" w:cs="Times New Roman"/>
                      <w:sz w:val="20"/>
                      <w:szCs w:val="20"/>
                    </w:rPr>
                    <w:br/>
                    <w:t xml:space="preserve">2. Chemistry, Yale University, New Haven,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 w:anchor="2219752" w:history="1">
                    <w:r w:rsidRPr="0005639F">
                      <w:rPr>
                        <w:rFonts w:ascii="Times New Roman" w:eastAsia="Times New Roman" w:hAnsi="Times New Roman" w:cs="Times New Roman"/>
                        <w:color w:val="0000FF"/>
                        <w:sz w:val="20"/>
                        <w:szCs w:val="20"/>
                        <w:u w:val="single"/>
                      </w:rPr>
                      <w:t>Semiconductor nanocrystals for robust and efficient solar hydrogen production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Homogeneous molecular-based systems for light-driven reduction of protons to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typically suffer from short lifetimes because of decomposition of the light-absorbing molecule, such as an organic dye. A complementary approach to entirely molecular systems would be to incorporate nanoscale based systems, such as semiconductor nanocrystals, into an artificial photosynthesis system. Nanocrystals offer several potential advantages including durability, electronic states and redox potentials that are size tunable, and the ability to store and deliver multiple electrons. We will present studies of a robust and highly active system for solar hydrogen generation in water that uses CdSe nanocrystals capped with dihydrolipoic acid (DHLA) as the solar energy harvester and a soluble Ni</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-DHLA catalyst for proton reduction. With ascorbic acid as a sacrificial electron donor at pH 4.5, the system gives over 600,000 turnovers with respect to catalyst. Under appropriate conditions, the nanocrystal based system has undiminished activity for at least 360 hours under illumination at 520 nm, and achieves quantum yields in water of over 36%. We will also present measurements of the efficiency and robustness of photo-hydrogen production for core CdSe nanocrystals compared to other more highly engineered nanoparticle systems such as core-shell CdSe-CdS nanocrystals and CdSe-CdS dot-in-rod nanoparticles. </w:t>
                  </w:r>
                  <w:r w:rsidRPr="0005639F">
                    <w:rPr>
                      <w:rFonts w:ascii="MS Mincho" w:eastAsia="MS Mincho" w:hAnsi="MS Mincho" w:cs="MS Mincho"/>
                      <w:b/>
                      <w:bCs/>
                      <w:sz w:val="20"/>
                      <w:szCs w:val="20"/>
                    </w:rPr>
                    <w:t>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r w:rsidRPr="0005639F">
                    <w:rPr>
                      <w:rFonts w:ascii="Times New Roman" w:eastAsia="Times New Roman" w:hAnsi="Times New Roman" w:cs="Times New Roman"/>
                      <w:sz w:val="20"/>
                      <w:szCs w:val="20"/>
                    </w:rPr>
                    <w:t>Accept</w:t>
                  </w:r>
                </w:p>
              </w:tc>
            </w:tr>
          </w:tbl>
          <w:p w:rsidR="0005639F" w:rsidRPr="0005639F" w:rsidRDefault="0005639F" w:rsidP="0005639F">
            <w:pPr>
              <w:spacing w:before="100" w:beforeAutospacing="1"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7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2231173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Colloid and Surface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Nicholas Kotov</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Yoonseob Kim</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Siu O. Tung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Bongjun Yeom</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Terry Shyu</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University of Michigan, Ann Arbor, MI, United States. </w:t>
                  </w:r>
                  <w:r w:rsidRPr="0005639F">
                    <w:rPr>
                      <w:rFonts w:ascii="Times New Roman" w:eastAsia="Times New Roman" w:hAnsi="Times New Roman" w:cs="Times New Roman"/>
                      <w:sz w:val="20"/>
                      <w:szCs w:val="20"/>
                    </w:rPr>
                    <w:br/>
                    <w:t xml:space="preserve">2. Chemical Engineering, University of Michigan, Ann Arbor, MI,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 w:anchor="2231173" w:history="1">
                    <w:r w:rsidRPr="0005639F">
                      <w:rPr>
                        <w:rFonts w:ascii="Times New Roman" w:eastAsia="Times New Roman" w:hAnsi="Times New Roman" w:cs="Times New Roman"/>
                        <w:color w:val="0000FF"/>
                        <w:sz w:val="20"/>
                        <w:szCs w:val="20"/>
                        <w:u w:val="single"/>
                      </w:rPr>
                      <w:t xml:space="preserve">Materials design with layered biomimetic nanocomposites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Finding materials with combinations of several extreme properties is one of the key requirements for the successful engineering of adaptive systems. Successful realization of such materials requires new choices for materials components and new approaches for materials “assembly”. Layer-by-layer assembly (LBL) is materials manufacturing technique from nanomaterials that affords hierarchical multiscale engineering of nanocomposite materials (Figure 1) based on sequential adsorption of nanometer scale layers of polymers and inorganic particle, nanowires, nanotubes, sheets, etc. In this presentation we demonstrate that LBL and related techniques can lead to the materials with seemingly “impossible” combinations of properties encompassing mechanical, electrical, optical, and biological properties. We will make particular emphasis in this presentation on nanoparticles composites which consistently demonstrate exceptional performance and display the potential for scalability. Finding composites with high stiffness properties + high damping and as well as high stiffness + transparency will be demonstrated. The pathway toward successful realization of two, three, and four different properties based on the structural designs </w:t>
                  </w:r>
                  <w:r w:rsidRPr="0005639F">
                    <w:rPr>
                      <w:rFonts w:ascii="Times New Roman" w:eastAsia="Times New Roman" w:hAnsi="Times New Roman" w:cs="Times New Roman"/>
                      <w:sz w:val="20"/>
                      <w:szCs w:val="20"/>
                    </w:rPr>
                    <w:lastRenderedPageBreak/>
                    <w:t>and computer simulations is possible and will be exemplified using nanocomposites used for biomedical applications, such as brain implants. A new type of nanoscale “building blocks’ such as aramid nanofibers (ANFs) can also be incorporated in such composites combining several hard-to-reach properties with potential applications as ion conductors for lithium ion batteries will be described. The last part of the talk will describe our latest exploits in the area of composites from plasmonic nanoparticles and materials designs to achieve the combination of high conductivity and high stretchability.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r w:rsidRPr="0005639F">
                    <w:rPr>
                      <w:rFonts w:ascii="Times New Roman" w:eastAsia="Times New Roman" w:hAnsi="Times New Roman" w:cs="Times New Roman"/>
                      <w:sz w:val="20"/>
                      <w:szCs w:val="20"/>
                    </w:rPr>
                    <w:t>Accept</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7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2248371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Colloid and Surface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Annabella Selloni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Princeton Univ, Princeton,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 w:anchor="2248371" w:history="1">
                    <w:r w:rsidRPr="0005639F">
                      <w:rPr>
                        <w:rFonts w:ascii="Times New Roman" w:eastAsia="Times New Roman" w:hAnsi="Times New Roman" w:cs="Times New Roman"/>
                        <w:color w:val="0000FF"/>
                        <w:sz w:val="20"/>
                        <w:szCs w:val="20"/>
                        <w:u w:val="single"/>
                      </w:rPr>
                      <w:t>Water adsorption and oxidation on anatase TiO2</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Semiconductor-based photocatalysis for the degradation of pollutants and the decomposition of water into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and 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has been an important area of research for decades. Due to its abundance, non-toxicity, high stability under a variety of conditions, as well as proper band alignment relative to the water redox potentials, the most widely used material in heterogeneous photocatalysis is titanium dioxide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I shall discuss recent applications of first principles electronic structure calculations and molecular dynamics simulations to understand materials properties and reaction mechanisms relevant to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-based photocalysis, with focus on water adsorption and the mechanism of water oxidation at the surface of anataseTiO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7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2254937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Colloid and Surface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Lars Gundlach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Jesus Nieto-Pescador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Baxter Abraham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Biochemistry, University of Delaware, Newark, DE,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 w:anchor="2254937" w:history="1">
                    <w:r w:rsidRPr="0005639F">
                      <w:rPr>
                        <w:rFonts w:ascii="Times New Roman" w:eastAsia="Times New Roman" w:hAnsi="Times New Roman" w:cs="Times New Roman"/>
                        <w:color w:val="0000FF"/>
                        <w:sz w:val="20"/>
                        <w:szCs w:val="20"/>
                        <w:u w:val="single"/>
                      </w:rPr>
                      <w:t>Energy and dipole dependence of electron transfer at surfaces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Electron transfer at interfaces is a critical process in surface catalysis, novel electronic applications and solar energy conversion. The fast kinetics (below 100 fs) and the inhomogeneous environment complicate identifying the parameters that dominate the reaction. I will present ultrafast spectroscopic studies of model systems with well-defined variations in excess energy and dipole moment.</w:t>
                  </w:r>
                  <w:r w:rsidRPr="0005639F">
                    <w:rPr>
                      <w:rFonts w:ascii="Times New Roman" w:eastAsia="Times New Roman" w:hAnsi="Times New Roman" w:cs="Times New Roman"/>
                      <w:sz w:val="20"/>
                      <w:szCs w:val="20"/>
                    </w:rPr>
                    <w:br/>
                    <w:t>In the first part excited state dynamics of a phlorin macrocycle attached to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nanoparticles will be discussed. The dynamics was measured after excitation to the S</w:t>
                  </w:r>
                  <w:r w:rsidRPr="0005639F">
                    <w:rPr>
                      <w:rFonts w:ascii="Times New Roman" w:eastAsia="Times New Roman" w:hAnsi="Times New Roman" w:cs="Times New Roman"/>
                      <w:sz w:val="20"/>
                      <w:szCs w:val="20"/>
                      <w:vertAlign w:val="subscript"/>
                    </w:rPr>
                    <w:t>1</w:t>
                  </w:r>
                  <w:r w:rsidRPr="0005639F">
                    <w:rPr>
                      <w:rFonts w:ascii="Times New Roman" w:eastAsia="Times New Roman" w:hAnsi="Times New Roman" w:cs="Times New Roman"/>
                      <w:sz w:val="20"/>
                      <w:szCs w:val="20"/>
                    </w:rPr>
                    <w:t xml:space="preserve"> and the S</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state. On the electrode, heterogeneous electron </w:t>
                  </w:r>
                  <w:r w:rsidRPr="0005639F">
                    <w:rPr>
                      <w:rFonts w:ascii="Times New Roman" w:eastAsia="Times New Roman" w:hAnsi="Times New Roman" w:cs="Times New Roman"/>
                      <w:sz w:val="20"/>
                      <w:szCs w:val="20"/>
                    </w:rPr>
                    <w:lastRenderedPageBreak/>
                    <w:t>transfer (HET) times from both states were very similar and around 50 fs. Surprisingly, the large difference in the density of acceptor states that are resonant with the respective donor level of the molecule does not significantly influence HET dynamics.</w:t>
                  </w:r>
                  <w:r w:rsidRPr="0005639F">
                    <w:rPr>
                      <w:rFonts w:ascii="Times New Roman" w:eastAsia="Times New Roman" w:hAnsi="Times New Roman" w:cs="Times New Roman"/>
                      <w:sz w:val="20"/>
                      <w:szCs w:val="20"/>
                    </w:rPr>
                    <w:br/>
                    <w:t>In the second part I will present measurements of electron injection dynamics from a series of three Zn(II) tetraphenylporphyrins with alternating dipole moment. The influence of the dipole moment on the energy level alignment can be observed in the ultrafast injection dynamics of the chromophores bound to a metal oxide semiconductor. The three molecules show the expected dipole dependent HET dynamics in the S</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state, while the S</w:t>
                  </w:r>
                  <w:r w:rsidRPr="0005639F">
                    <w:rPr>
                      <w:rFonts w:ascii="Times New Roman" w:eastAsia="Times New Roman" w:hAnsi="Times New Roman" w:cs="Times New Roman"/>
                      <w:sz w:val="20"/>
                      <w:szCs w:val="20"/>
                      <w:vertAlign w:val="subscript"/>
                    </w:rPr>
                    <w:t>1</w:t>
                  </w:r>
                  <w:r w:rsidRPr="0005639F">
                    <w:rPr>
                      <w:rFonts w:ascii="Times New Roman" w:eastAsia="Times New Roman" w:hAnsi="Times New Roman" w:cs="Times New Roman"/>
                      <w:sz w:val="20"/>
                      <w:szCs w:val="20"/>
                    </w:rPr>
                    <w:t xml:space="preserve"> does not show ultrafast HET.</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7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2287327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Colloid and Surface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Melissa A. Hines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 w:anchor="2287327" w:history="1">
                    <w:r w:rsidRPr="0005639F">
                      <w:rPr>
                        <w:rFonts w:ascii="Times New Roman" w:eastAsia="Times New Roman" w:hAnsi="Times New Roman" w:cs="Times New Roman"/>
                        <w:b/>
                        <w:bCs/>
                        <w:color w:val="0000FF"/>
                        <w:sz w:val="20"/>
                        <w:szCs w:val="20"/>
                        <w:u w:val="single"/>
                      </w:rPr>
                      <w:t>Finding needles in haystacks: Scanning tunneling microscopy reveals the highly site-specific reactivity of TiO</w:t>
                    </w:r>
                    <w:r w:rsidRPr="0005639F">
                      <w:rPr>
                        <w:rFonts w:ascii="Times New Roman" w:eastAsia="Times New Roman" w:hAnsi="Times New Roman" w:cs="Times New Roman"/>
                        <w:b/>
                        <w:bCs/>
                        <w:color w:val="0000FF"/>
                        <w:sz w:val="20"/>
                        <w:szCs w:val="20"/>
                        <w:u w:val="single"/>
                        <w:vertAlign w:val="subscript"/>
                      </w:rPr>
                      <w:t>2</w:t>
                    </w:r>
                    <w:r w:rsidRPr="0005639F">
                      <w:rPr>
                        <w:rFonts w:ascii="Times New Roman" w:eastAsia="Times New Roman" w:hAnsi="Times New Roman" w:cs="Times New Roman"/>
                        <w:b/>
                        <w:bCs/>
                        <w:color w:val="0000FF"/>
                        <w:sz w:val="20"/>
                        <w:szCs w:val="20"/>
                        <w:u w:val="single"/>
                      </w:rPr>
                      <w:t xml:space="preserve"> surfaces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Nanocatalytic titanium dioxide can be produced in a wide variety of faceted shapes and polymorphs, each with different reactivity. This faceting is a macroscopic manifestation of highly site-specific reactions. We show that these reactions literally write a record of their reactivity in the morphology of the surface — a record that can be quantified with scanning tunneling microscopy (STM). Seemingly paradoxically, the sites targeted by these highly site-specific reactions are extremely rare. The most interesting site — the site where the reaction occurs most rapidly and most selectively — is the hardest one to find. This highly reactive site, the key to the reaction, is the needle in the haystack, often occurring in densities below 1% of a monolayer and thus invisible to surface spectroscopies. Nevertheless, these rare reactions enable an exquisite degree of atomic-scale control if only we can learn to harness them.</w:t>
                  </w:r>
                  <w:r w:rsidRPr="0005639F">
                    <w:rPr>
                      <w:rFonts w:ascii="Times New Roman" w:eastAsia="Times New Roman" w:hAnsi="Times New Roman" w:cs="Times New Roman"/>
                      <w:sz w:val="20"/>
                      <w:szCs w:val="20"/>
                    </w:rPr>
                    <w:br/>
                    <w:t>The peroxo ligand is one of the most promising structure-directing agents in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synthesis; however, its role in growth and polymorph control is not well understood. Using a combination of experiments and kinetic Monte Carlo simulations, we show that base-catalyzed peroxide reactions target very particular sites on the rutile (110) surface — sites that are present in concentrations of less than 1% of a monolayer — producing highly homogeneous surfaces characterized by atomically flat terraces and straight atomic-height steps. This reaction produces surface steps with a different orientation, a different structure, and a different reactivity from those prepared using standard surface science techniques, which emphasizes the importance of studying reactivity in relevant environments. The observed reactivity is explained by a simple, site-specific model that is based on metal oxo coordination chemistry.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7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2290307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Colloid and Surface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Heather Vanselous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Carmella Calabrese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Poul B. Petersen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 w:anchor="2290307" w:history="1">
                    <w:r w:rsidRPr="0005639F">
                      <w:rPr>
                        <w:rFonts w:ascii="Times New Roman" w:eastAsia="Times New Roman" w:hAnsi="Times New Roman" w:cs="Times New Roman"/>
                        <w:b/>
                        <w:bCs/>
                        <w:color w:val="0000FF"/>
                        <w:sz w:val="20"/>
                        <w:szCs w:val="20"/>
                        <w:u w:val="single"/>
                      </w:rPr>
                      <w:t>Vibrational dynamics of dyes and catalysts on single-crystalline TiO2</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Molecule-based heterogeneous catalysis and dye-sensitized solar cells have in common that they utilize an active molecule bound to a large surface-area structure. The large surface-area structure act to increase the catalytic throughput and solar absorption, respectively, and is typically a nanostructured or colloidal semiconductor, such as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While nanostructured devices are necessary in making practical devices, covalently binding dyes/catalysts to a surface change their properties and the inherently large heterogeneity in such systems complicate detailed studies. Surface-specific spectroscopy allows for studying dyes and catalysts on single-crystalline surfaces with a well-defined structure. This greatly reduce the complexity of the system and allows for direct comparison to theoretical calculations that require a well-known surface structure. Using static and time-resolved vibrational sum-frequency generation spectroscopy we study dyes and catalysts on single-crystalline TiO2 surfaces. These studies systematically investigate how the TiO2 surface structure affect the properties of the dyes and catalysts. We see that molecules bound to different TiO2 facets indeed exhibit both different structures and vibrational relaxation times reflecting the heterogeneity of the nanostructured surfaces. </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8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2290994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Colloid and Surface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Zahra Fakhraai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University of Pennsylvania, Philadelphia,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 w:anchor="2290994" w:history="1">
                    <w:r w:rsidRPr="0005639F">
                      <w:rPr>
                        <w:rFonts w:ascii="Times New Roman" w:eastAsia="Times New Roman" w:hAnsi="Times New Roman" w:cs="Times New Roman"/>
                        <w:color w:val="0000FF"/>
                        <w:sz w:val="20"/>
                        <w:szCs w:val="20"/>
                        <w:u w:val="single"/>
                      </w:rPr>
                      <w:t>The importance of surface dynamics in the structure and function of organic glasses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It has recently been discovered that physical vapor deposition (PVD) can yield organic glasses with exceptional properties. These properties include increased kinetic and thermal stability, increased density, and improvements in properties that directly relate to density such as mechanical modulus and water uptake. These improvements in the properties make these organic glasses attractive substitutes for polycrystalline materials in a variety of applications such as thin film photovoltaics, nano-imprint lithography and pharmaceuticals.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However, the origins of this effect remain poorly understood. In order to achieve similar properties in bulk glasses, one needs to age the glass for hundreds, or even millions of years, yet a few hours of vapor deposition allows PVD glasses to break the thermodynamical barriers and reach these states. It has been hypothesized that enhanced dynamics at the liquid/vacuum interface allow the system to break these barriers. However, few studies have been able to elucidate the origins of enhanced dynamics and/or directly link enhanced dynamics at the free surface to the stability of PVD glasses.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Here we study the free surface dynamics of a variety of organic glasses, and their effect on the structure, morphology and dynamics of thin PVD glasses. We show that dynamics in thin films can be enhanced by many </w:t>
                  </w:r>
                  <w:r w:rsidRPr="0005639F">
                    <w:rPr>
                      <w:rFonts w:ascii="Times New Roman" w:eastAsia="Times New Roman" w:hAnsi="Times New Roman" w:cs="Times New Roman"/>
                      <w:sz w:val="20"/>
                      <w:szCs w:val="20"/>
                    </w:rPr>
                    <w:lastRenderedPageBreak/>
                    <w:t>order of magnitude and can affect thin film properties over a length scale of 10-30 nm. This large length scale of enhanced dynamics allows the PVD film to age rapidly even for molecules that are buried under an influx of new molecules and results in the increased density in PVD glasses. We show that the interplay between the enhanced dynamics and the depth of the energy landscape controls the final property of the PVD glasses produced at various substrate temperatures. These studies can provide design rules for organic thin films for various applications.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8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2292242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Colloid and Surface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Dario J. Stacchiola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Bldg 555, Brookhaven National Laboratory, Upton,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 w:anchor="2292242" w:history="1">
                    <w:r w:rsidRPr="0005639F">
                      <w:rPr>
                        <w:rFonts w:ascii="Times New Roman" w:eastAsia="Times New Roman" w:hAnsi="Times New Roman" w:cs="Times New Roman"/>
                        <w:color w:val="0000FF"/>
                        <w:sz w:val="20"/>
                        <w:szCs w:val="20"/>
                        <w:u w:val="single"/>
                      </w:rPr>
                      <w:t>The catalytic power of oxide/metal interfaces determined by In-situ studies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traditional approach to the optimization of metal/oxide catalysts has focused on the properties of the metal phase. A low concentration of chemically active sites in the oxide support may be blocked by the anchoring of metal nanoparticles. By using a second oxide as a support (host), one can create a multifunctional conﬁguration in which both metal and oxide nanoparticles are exposed to the reactants [1]. As an example, depositing ceria on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(110) leads to the formation of ceria dimmers [1]. Atoms with properties ranging from metallic to ionic are available at the metal–oxide interface and create unique reaction sites. We show the creation of an efficient pathway for the water–gas shift reaction at the oxide–metal interface of ceria nanoparticles deposited on Cu(111) or Au(111). </w:t>
                  </w:r>
                  <w:r w:rsidRPr="0005639F">
                    <w:rPr>
                      <w:rFonts w:ascii="Times New Roman" w:eastAsia="Times New Roman" w:hAnsi="Times New Roman" w:cs="Times New Roman"/>
                      <w:i/>
                      <w:iCs/>
                      <w:sz w:val="20"/>
                      <w:szCs w:val="20"/>
                    </w:rPr>
                    <w:t>In situ</w:t>
                  </w:r>
                  <w:r w:rsidRPr="0005639F">
                    <w:rPr>
                      <w:rFonts w:ascii="Times New Roman" w:eastAsia="Times New Roman" w:hAnsi="Times New Roman" w:cs="Times New Roman"/>
                      <w:sz w:val="20"/>
                      <w:szCs w:val="20"/>
                    </w:rPr>
                    <w:t xml:space="preserve"> experiments demonstrated that a carboxy species formed at the interface is the critical intermediate in the reaction [2]. Our studies point to a new paradigm in the design of catalysts: The optimization of the oxide phase and the metal-oxide interface in a catalyst can improve substantially its activity and selectivity. Using this knowledge, we show have to create a new multifunctional active site for the conversion of CO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to methanol.[3]</w:t>
                  </w:r>
                  <w:r w:rsidRPr="0005639F">
                    <w:rPr>
                      <w:rFonts w:ascii="Times New Roman" w:eastAsia="Times New Roman" w:hAnsi="Times New Roman" w:cs="Times New Roman"/>
                      <w:sz w:val="20"/>
                      <w:szCs w:val="20"/>
                    </w:rPr>
                    <w:br/>
                    <w:t xml:space="preserve">[1] </w:t>
                  </w:r>
                  <w:r w:rsidRPr="0005639F">
                    <w:rPr>
                      <w:rFonts w:ascii="Times New Roman" w:eastAsia="Times New Roman" w:hAnsi="Times New Roman" w:cs="Times New Roman"/>
                      <w:i/>
                      <w:iCs/>
                      <w:sz w:val="20"/>
                      <w:szCs w:val="20"/>
                    </w:rPr>
                    <w:t xml:space="preserve">Chem. Rev </w:t>
                  </w:r>
                  <w:r w:rsidRPr="0005639F">
                    <w:rPr>
                      <w:rFonts w:ascii="Times New Roman" w:eastAsia="Times New Roman" w:hAnsi="Times New Roman" w:cs="Times New Roman"/>
                      <w:b/>
                      <w:bCs/>
                      <w:sz w:val="20"/>
                      <w:szCs w:val="20"/>
                    </w:rPr>
                    <w:t>113</w:t>
                  </w:r>
                  <w:r w:rsidRPr="0005639F">
                    <w:rPr>
                      <w:rFonts w:ascii="Times New Roman" w:eastAsia="Times New Roman" w:hAnsi="Times New Roman" w:cs="Times New Roman"/>
                      <w:sz w:val="20"/>
                      <w:szCs w:val="20"/>
                    </w:rPr>
                    <w:t>, 4373–4390 (2013)</w:t>
                  </w:r>
                  <w:r w:rsidRPr="0005639F">
                    <w:rPr>
                      <w:rFonts w:ascii="Times New Roman" w:eastAsia="Times New Roman" w:hAnsi="Times New Roman" w:cs="Times New Roman"/>
                      <w:sz w:val="20"/>
                      <w:szCs w:val="20"/>
                    </w:rPr>
                    <w:br/>
                    <w:t xml:space="preserve">[2] </w:t>
                  </w:r>
                  <w:r w:rsidRPr="0005639F">
                    <w:rPr>
                      <w:rFonts w:ascii="Times New Roman" w:eastAsia="Times New Roman" w:hAnsi="Times New Roman" w:cs="Times New Roman"/>
                      <w:i/>
                      <w:iCs/>
                      <w:sz w:val="20"/>
                      <w:szCs w:val="20"/>
                    </w:rPr>
                    <w:t xml:space="preserve">Angew. Chem. Int. Ed. </w:t>
                  </w:r>
                  <w:r w:rsidRPr="0005639F">
                    <w:rPr>
                      <w:rFonts w:ascii="Times New Roman" w:eastAsia="Times New Roman" w:hAnsi="Times New Roman" w:cs="Times New Roman"/>
                      <w:b/>
                      <w:bCs/>
                      <w:sz w:val="20"/>
                      <w:szCs w:val="20"/>
                    </w:rPr>
                    <w:t>52</w:t>
                  </w:r>
                  <w:r w:rsidRPr="0005639F">
                    <w:rPr>
                      <w:rFonts w:ascii="Times New Roman" w:eastAsia="Times New Roman" w:hAnsi="Times New Roman" w:cs="Times New Roman"/>
                      <w:sz w:val="20"/>
                      <w:szCs w:val="20"/>
                    </w:rPr>
                    <w:t>, 5101–5105 (2013)</w:t>
                  </w:r>
                  <w:r w:rsidRPr="0005639F">
                    <w:rPr>
                      <w:rFonts w:ascii="Times New Roman" w:eastAsia="Times New Roman" w:hAnsi="Times New Roman" w:cs="Times New Roman"/>
                      <w:sz w:val="20"/>
                      <w:szCs w:val="20"/>
                    </w:rPr>
                    <w:br/>
                    <w:t xml:space="preserve">[3] </w:t>
                  </w:r>
                  <w:r w:rsidRPr="0005639F">
                    <w:rPr>
                      <w:rFonts w:ascii="Times New Roman" w:eastAsia="Times New Roman" w:hAnsi="Times New Roman" w:cs="Times New Roman"/>
                      <w:i/>
                      <w:iCs/>
                      <w:sz w:val="20"/>
                      <w:szCs w:val="20"/>
                    </w:rPr>
                    <w:t>Science</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345</w:t>
                  </w:r>
                  <w:r w:rsidRPr="0005639F">
                    <w:rPr>
                      <w:rFonts w:ascii="Times New Roman" w:eastAsia="Times New Roman" w:hAnsi="Times New Roman" w:cs="Times New Roman"/>
                      <w:sz w:val="20"/>
                      <w:szCs w:val="20"/>
                    </w:rPr>
                    <w:t>, 546-550 (2014)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8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2211461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Organometallic Chemistry and Catalysis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John Andjaba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Christopher A. Bradley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Science, Mount St. Marys University, Emmitsburg,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 w:anchor="2211461" w:history="1">
                    <w:r w:rsidRPr="0005639F">
                      <w:rPr>
                        <w:rFonts w:ascii="Times New Roman" w:eastAsia="Times New Roman" w:hAnsi="Times New Roman" w:cs="Times New Roman"/>
                        <w:color w:val="0000FF"/>
                        <w:sz w:val="20"/>
                        <w:szCs w:val="20"/>
                        <w:u w:val="single"/>
                      </w:rPr>
                      <w:t>C-H activation with cobalt(I): Exploring the generation and reactivity of Cp*CoL fragments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direct functionalization of carbon-hydrogen bonds remains a “holy grail” of catalytic chemistry. Though transition metal catalysts have shown much promise in the past decades for development of selective nonpolar hydrocarbon activation, almost all catalysts developed for these transformations derive from precious metals.</w:t>
                  </w:r>
                  <w:r w:rsidRPr="0005639F">
                    <w:rPr>
                      <w:rFonts w:ascii="Times New Roman" w:eastAsia="Times New Roman" w:hAnsi="Times New Roman" w:cs="Times New Roman"/>
                      <w:sz w:val="20"/>
                      <w:szCs w:val="20"/>
                    </w:rPr>
                    <w:br/>
                    <w:t xml:space="preserve">Our group has recently examined strategies to translate the chemistry of C-H bond activation to cobalt, a more inexpensive and available feedstock for catalysis. In particular, we have explored the reactivity of unsaturated Cp*Co(I) (Cp* = pentamethylcyclopentadienyl) species in the interest of preparing Cp*CoL (L = N-heterocyclic carbene (NHC) or alkene) complexes. These 16 electron compounds can be observed or isolated and react readily to promote </w:t>
                  </w:r>
                  <w:r w:rsidRPr="0005639F">
                    <w:rPr>
                      <w:rFonts w:ascii="Times New Roman" w:eastAsia="Times New Roman" w:hAnsi="Times New Roman" w:cs="Times New Roman"/>
                      <w:i/>
                      <w:iCs/>
                      <w:sz w:val="20"/>
                      <w:szCs w:val="20"/>
                    </w:rPr>
                    <w:t>sp</w:t>
                  </w:r>
                  <w:r w:rsidRPr="0005639F">
                    <w:rPr>
                      <w:rFonts w:ascii="Times New Roman" w:eastAsia="Times New Roman" w:hAnsi="Times New Roman" w:cs="Times New Roman"/>
                      <w:i/>
                      <w:iCs/>
                      <w:sz w:val="20"/>
                      <w:szCs w:val="20"/>
                      <w:vertAlign w:val="superscript"/>
                    </w:rPr>
                    <w:t>2</w:t>
                  </w:r>
                  <w:r w:rsidRPr="0005639F">
                    <w:rPr>
                      <w:rFonts w:ascii="Times New Roman" w:eastAsia="Times New Roman" w:hAnsi="Times New Roman" w:cs="Times New Roman"/>
                      <w:sz w:val="20"/>
                      <w:szCs w:val="20"/>
                    </w:rPr>
                    <w:t xml:space="preserve"> C-H activation, when L is an activated alkene such as dimethyl fumarate. When L = NHC, no intra- or intermolecular C-H activation is observed thermally, likely due to a high barrier to reactivity for carbon-hydrogen bonds with the observed triplet ground of Cp*Co(NHC). To better understand this dichotomy based on supporting ligand, the reactivity of these Cp*CoL fragments were studied computationally, to determine if observed reactivity matches calculated barriers for the desired C-H activations. A combination of theoretical and experimental results from these studies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8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2270628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Organometallic Chemistry and Catalysis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Daniel Rabinovich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UNC Charlotte Chemistry, Charlotte, NC,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 w:anchor="2270628" w:history="1">
                    <w:r w:rsidRPr="0005639F">
                      <w:rPr>
                        <w:rFonts w:ascii="Times New Roman" w:eastAsia="Times New Roman" w:hAnsi="Times New Roman" w:cs="Times New Roman"/>
                        <w:color w:val="0000FF"/>
                        <w:sz w:val="20"/>
                        <w:szCs w:val="20"/>
                        <w:u w:val="single"/>
                      </w:rPr>
                      <w:t>Organometallic and coordination chemistry of new pyridine/thione and pyridine/selone mixed-donor ligands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We have been developing new bidentate ligands containing both pyridine and N</w:t>
                  </w:r>
                  <w:r w:rsidRPr="0005639F">
                    <w:rPr>
                      <w:rFonts w:ascii="Times New Roman" w:eastAsia="Times New Roman" w:hAnsi="Times New Roman" w:cs="Times New Roman"/>
                      <w:sz w:val="20"/>
                      <w:szCs w:val="20"/>
                    </w:rPr>
                    <w:noBreakHyphen/>
                    <w:t>heterocyclic thione (NHT) or selone (NHSe) donor groups with the goal of preparing synthetic analogues of methanobactin (mb), a fascinating small protein that plays a key role in the acquisition and transport of copper ions in methane-oxidizing bacteria. This presentation will outline recent advances in the design and application of several new mixed-donor ligands to the synthesis of mononuclear and dinuclear copper(I) complexes that mimic the metal center in mb. In addition, the coordination chemistry of these new soft ligands towards other transition and main group metals, including molybdenum(0), manganese(I), rhenium(I), silver(I), zinc(II), cadmium(II), mercury(II), indium(III), tin(IV), antimony(III) and bismuth(III), will be described.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8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2274902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Advances in Organometallic Chemistry and Catalysis - Oral - INVITED </w:t>
                  </w:r>
                  <w:r w:rsidRPr="0005639F">
                    <w:rPr>
                      <w:rFonts w:ascii="Times New Roman" w:eastAsia="Times New Roman" w:hAnsi="Times New Roman" w:cs="Times New Roman"/>
                      <w:sz w:val="20"/>
                      <w:szCs w:val="20"/>
                    </w:rPr>
                    <w:lastRenderedPageBreak/>
                    <w:t>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AUTHORS (FIRST NAME, LAST NAME): </w:t>
                  </w:r>
                  <w:r w:rsidRPr="0005639F">
                    <w:rPr>
                      <w:rFonts w:ascii="Times New Roman" w:eastAsia="Times New Roman" w:hAnsi="Times New Roman" w:cs="Times New Roman"/>
                      <w:sz w:val="20"/>
                      <w:szCs w:val="20"/>
                      <w:u w:val="single"/>
                    </w:rPr>
                    <w:t>Peter Baran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 Dept von Liebig Science Ctr 2035, Juniata College, Huntingdon,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 w:anchor="2274902" w:history="1">
                    <w:r w:rsidRPr="0005639F">
                      <w:rPr>
                        <w:rFonts w:ascii="Times New Roman" w:eastAsia="Times New Roman" w:hAnsi="Times New Roman" w:cs="Times New Roman"/>
                        <w:color w:val="0000FF"/>
                        <w:sz w:val="20"/>
                        <w:szCs w:val="20"/>
                        <w:u w:val="single"/>
                      </w:rPr>
                      <w:t>Transition metal complexes with aromatic amine N-oxide Schiff bases as potential catalysts in organic oxidation reactions.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Condensation of 2-pyridinecarboxaldehyde (poxal) with o-phenylenediamine was studied in an attempt to prepare an analogue of the N-oxide derivative of the salen-type ligand used in the Jacobsen’s catalyst. A stoichiometric 2 : 1 reaction of poxal with o-phenylenediamine does not yield an expected tetradentate Schiff base but a potentially bidentate ligand, poxbim, in a very moderate yield as a product of 1 : 1 condensation, followed by cyclization, and subsequent oxidation. Templated synthesis with copper(II) nitrate provided a Cu(II) complex with the target tetradentate Schiff base, however. The free tetradentate Schiff base was obtained by a stepwise condensation of poxal with o-phenylenediamine in the presence of some sodium salts. Product of the first condensation step (1 : 1 by stoichiometry), a tridentate Schiff base, undergoes a quantitative conversion into poxbim in the presence of catalytic amount of copper(II) nitrate.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8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2278510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Organometallic Chemistry and Catalysis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Nilay Hazari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Yale University, New Haven,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 w:anchor="2278510" w:history="1">
                    <w:r w:rsidRPr="0005639F">
                      <w:rPr>
                        <w:rFonts w:ascii="Times New Roman" w:eastAsia="Times New Roman" w:hAnsi="Times New Roman" w:cs="Times New Roman"/>
                        <w:color w:val="0000FF"/>
                        <w:sz w:val="20"/>
                        <w:szCs w:val="20"/>
                        <w:u w:val="single"/>
                      </w:rPr>
                      <w:t>Mechanism Guided Improvement of Pd(II) Precatalysts for Cross-Coupling</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Transition metal catalyzed cross-coupling has found applications in diverse areas of chemistry and is widely considered to be one of the most powerful and general synthetic methods. The most effective cross-coupling catalysts tend to utilize Pd and feature sterically demanding, electron rich phosphine or N-heterocyclic carbene ancillary ligands. Traditionally, the active species in catalysis, often monoligated Pd(0), has been generated through the addition of excess ligand to a Pd(0) source. However, in recent years the cost of the specialized ligands utilized in most cross-coupling reactions has become comparable to the Pd(0) source and the use of excess ligand is no longer attractive. Instead, a variety of well-defined Pd(I) and Pd(II) precatalysts (Figure 1), which feature a 1:1 Pd:ligand ratio have been developed, and are now commercially available. A key feature in the effectiveness of these Pd(I) and Pd(II) precatalysts is the rate and efficiency of their conversion into the monoligated L-Pd(0) active species under the reaction conditions. Studies have been performed on the mechanism of activation of the Mingos/Hartwig, Buchwald and Organ precatalysts and these activation pathways, which are important for designing improved precatalysts, are now relatively well understood. In contrast, relatively little work has been performed on the mechanism of activation of Nolan type precatalysts. In this presentation we outline the pathway by which Nolan type precatalysts are activated and use this information to design a far more efficient precatalyst.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lastRenderedPageBreak/>
              <w:pict>
                <v:rect id="_x0000_i338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2288849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Organometallic Chemistry and Catalysis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Anna Sberegaeva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Andrei N. Vedernikov</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&amp; Biochemistry, University of Maryland, College Park,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 w:anchor="2288849" w:history="1">
                    <w:r w:rsidRPr="0005639F">
                      <w:rPr>
                        <w:rFonts w:ascii="Times New Roman" w:eastAsia="Times New Roman" w:hAnsi="Times New Roman" w:cs="Times New Roman"/>
                        <w:b/>
                        <w:bCs/>
                        <w:color w:val="0000FF"/>
                        <w:sz w:val="20"/>
                        <w:szCs w:val="20"/>
                        <w:u w:val="single"/>
                      </w:rPr>
                      <w:t>Pd</w:t>
                    </w:r>
                    <w:r w:rsidRPr="0005639F">
                      <w:rPr>
                        <w:rFonts w:ascii="Times New Roman" w:eastAsia="Times New Roman" w:hAnsi="Times New Roman" w:cs="Times New Roman"/>
                        <w:b/>
                        <w:bCs/>
                        <w:color w:val="0000FF"/>
                        <w:sz w:val="20"/>
                        <w:szCs w:val="20"/>
                        <w:u w:val="single"/>
                        <w:vertAlign w:val="superscript"/>
                      </w:rPr>
                      <w:t>II</w:t>
                    </w:r>
                    <w:r w:rsidRPr="0005639F">
                      <w:rPr>
                        <w:rFonts w:ascii="Times New Roman" w:eastAsia="Times New Roman" w:hAnsi="Times New Roman" w:cs="Times New Roman"/>
                        <w:b/>
                        <w:bCs/>
                        <w:color w:val="0000FF"/>
                        <w:sz w:val="20"/>
                        <w:szCs w:val="20"/>
                        <w:u w:val="single"/>
                      </w:rPr>
                      <w:t>-Me + H</w:t>
                    </w:r>
                    <w:r w:rsidRPr="0005639F">
                      <w:rPr>
                        <w:rFonts w:ascii="Times New Roman" w:eastAsia="Times New Roman" w:hAnsi="Times New Roman" w:cs="Times New Roman"/>
                        <w:b/>
                        <w:bCs/>
                        <w:color w:val="0000FF"/>
                        <w:sz w:val="20"/>
                        <w:szCs w:val="20"/>
                        <w:u w:val="single"/>
                        <w:vertAlign w:val="subscript"/>
                      </w:rPr>
                      <w:t>2</w:t>
                    </w:r>
                    <w:r w:rsidRPr="0005639F">
                      <w:rPr>
                        <w:rFonts w:ascii="Times New Roman" w:eastAsia="Times New Roman" w:hAnsi="Times New Roman" w:cs="Times New Roman"/>
                        <w:b/>
                        <w:bCs/>
                        <w:color w:val="0000FF"/>
                        <w:sz w:val="20"/>
                        <w:szCs w:val="20"/>
                        <w:u w:val="single"/>
                      </w:rPr>
                      <w:t>O + O</w:t>
                    </w:r>
                    <w:r w:rsidRPr="0005639F">
                      <w:rPr>
                        <w:rFonts w:ascii="Times New Roman" w:eastAsia="Times New Roman" w:hAnsi="Times New Roman" w:cs="Times New Roman"/>
                        <w:b/>
                        <w:bCs/>
                        <w:color w:val="0000FF"/>
                        <w:sz w:val="20"/>
                        <w:szCs w:val="20"/>
                        <w:u w:val="single"/>
                        <w:vertAlign w:val="subscript"/>
                      </w:rPr>
                      <w:t>2</w:t>
                    </w:r>
                    <w:r w:rsidRPr="0005639F">
                      <w:rPr>
                        <w:rFonts w:ascii="Times New Roman" w:eastAsia="Times New Roman" w:hAnsi="Times New Roman" w:cs="Times New Roman"/>
                        <w:b/>
                        <w:bCs/>
                        <w:color w:val="0000FF"/>
                        <w:sz w:val="20"/>
                        <w:szCs w:val="20"/>
                        <w:u w:val="single"/>
                      </w:rPr>
                      <w:t xml:space="preserve"> → methanol or ethane?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Aerobic functionalization of transition metal – carbon bonds, e.g., metal – CH</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bonds is commonly suggested as a part of a catalytic cycle for functionalization of alkane C</w:t>
                  </w:r>
                  <w:r w:rsidRPr="0005639F">
                    <w:rPr>
                      <w:rFonts w:ascii="Times New Roman" w:eastAsia="Times New Roman" w:hAnsi="Times New Roman" w:cs="Times New Roman"/>
                      <w:sz w:val="20"/>
                      <w:szCs w:val="20"/>
                    </w:rPr>
                    <w:noBreakHyphen/>
                    <w:t>H bonds with 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as the oxidant. Such reactions may lead to products of an oxyfunctionalization containing a new C</w:t>
                  </w:r>
                  <w:r w:rsidRPr="0005639F">
                    <w:rPr>
                      <w:rFonts w:ascii="Times New Roman" w:eastAsia="Times New Roman" w:hAnsi="Times New Roman" w:cs="Times New Roman"/>
                      <w:sz w:val="20"/>
                      <w:szCs w:val="20"/>
                    </w:rPr>
                    <w:noBreakHyphen/>
                    <w:t>O bond (e.g., methanol), or to products of oxidative C</w:t>
                  </w:r>
                  <w:r w:rsidRPr="0005639F">
                    <w:rPr>
                      <w:rFonts w:ascii="Times New Roman" w:eastAsia="Times New Roman" w:hAnsi="Times New Roman" w:cs="Times New Roman"/>
                      <w:sz w:val="20"/>
                      <w:szCs w:val="20"/>
                    </w:rPr>
                    <w:noBreakHyphen/>
                    <w:t>C coupling (e.g., ethane; methane – to – ethane upgrade). In turn, palladium is the metal which has been used in oxidative C</w:t>
                  </w:r>
                  <w:r w:rsidRPr="0005639F">
                    <w:rPr>
                      <w:rFonts w:ascii="Times New Roman" w:eastAsia="Times New Roman" w:hAnsi="Times New Roman" w:cs="Times New Roman"/>
                      <w:sz w:val="20"/>
                      <w:szCs w:val="20"/>
                    </w:rPr>
                    <w:noBreakHyphen/>
                    <w:t>H functionalization most successfully in the last decade. In spite of this fact, precedents of Pd</w:t>
                  </w:r>
                  <w:r w:rsidRPr="0005639F">
                    <w:rPr>
                      <w:rFonts w:ascii="Times New Roman" w:eastAsia="Times New Roman" w:hAnsi="Times New Roman" w:cs="Times New Roman"/>
                      <w:sz w:val="20"/>
                      <w:szCs w:val="20"/>
                      <w:vertAlign w:val="superscript"/>
                    </w:rPr>
                    <w:t>II</w:t>
                  </w:r>
                  <w:r w:rsidRPr="0005639F">
                    <w:rPr>
                      <w:rFonts w:ascii="Times New Roman" w:eastAsia="Times New Roman" w:hAnsi="Times New Roman" w:cs="Times New Roman"/>
                      <w:sz w:val="20"/>
                      <w:szCs w:val="20"/>
                    </w:rPr>
                    <w:noBreakHyphen/>
                    <w:t>CH</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bond aerobic transformations are scarce and none of the reactions reported leads to methanol. In this contribution we will demonstrate aerobic functionalization of palladium(II) monomethyl complexes in water leading to selective formation of either methanol or ethane, among other products. Some means to control the reaction selectivity and plausible reaction mechanism will also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8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2290553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Organometallic Chemistry and Catalysis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Timothy J. Brunker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Towson University, Towson,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8" w:anchor="2290553" w:history="1">
                    <w:r w:rsidRPr="0005639F">
                      <w:rPr>
                        <w:rFonts w:ascii="Times New Roman" w:eastAsia="Times New Roman" w:hAnsi="Times New Roman" w:cs="Times New Roman"/>
                        <w:color w:val="0000FF"/>
                        <w:sz w:val="20"/>
                        <w:szCs w:val="20"/>
                        <w:u w:val="single"/>
                      </w:rPr>
                      <w:t>Studies of neutral and cationic azaferrocene-borane Lewis pairs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Azaferrocenes with different substitution patterns on both the cyclopentadienyl (Cp) and pyrrolyl (Pyr) rings have been synthesized, as well as a variety of their borane adducts (Boranes = BH</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BCl</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BF</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B(C</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F</w:t>
                  </w:r>
                  <w:r w:rsidRPr="0005639F">
                    <w:rPr>
                      <w:rFonts w:ascii="Times New Roman" w:eastAsia="Times New Roman" w:hAnsi="Times New Roman" w:cs="Times New Roman"/>
                      <w:sz w:val="20"/>
                      <w:szCs w:val="20"/>
                      <w:vertAlign w:val="subscript"/>
                    </w:rPr>
                    <w:t>5</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and 9-bora-[3.3.1]-bicyclononane). Multinuclear NMR, X-ray crystal structure and reactivity studies of these adducts reveal the relative importance of steric effects in both the borane and azaferrocene moieties on the stability of the B-N dative bond. Borenium ions of the type [CpFePyr-BX</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may be synthesized by either halide or hydride abstraction from the borane adducts. Solution NMR and reactivity studies reveal that these cations are of high Lewis acidity yet display greater stability than related borenium ions derived from simple heterocycles such as pyridine. DFT calculations confirm that the FeCp moiety plays a substantial role in stabilizing the electron deficient boron center. Borenium ions of the type [CpFePyr-BH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are very reactive in hydroboration of linear alkenes and cyclic dienes. Detailed studies on the cyclic dihydroboration of 1,5-cyclooctadiene show that isomerization through a dehydroboration / rehydroboration mechanism is facile at these cationic boron centers.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8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2291831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Advances in Organometallic Chemistry and Catalysis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Abby R. O'Connor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 Dept, College of New Jersey, Ewing,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 w:anchor="2291831" w:history="1">
                    <w:r w:rsidRPr="0005639F">
                      <w:rPr>
                        <w:rFonts w:ascii="Times New Roman" w:eastAsia="Times New Roman" w:hAnsi="Times New Roman" w:cs="Times New Roman"/>
                        <w:color w:val="0000FF"/>
                        <w:sz w:val="20"/>
                        <w:szCs w:val="20"/>
                        <w:u w:val="single"/>
                      </w:rPr>
                      <w:t>Iridium Complexes Containing Pyridinesulfonamide Ligands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Work in the O’Connor lab is focused on the synthesis, characterization, and catalysis of iridium complexes containing pyridinesulfonamide ligands. We describe the transfer hydrogenation of polar substrates under conditions that do not require basic additives and rigorously dried and degassed substrates and solvents. These catalysts demonstrate a wide substrate scope and are tolerant of base sensitive functional groups. Electron poor substrates yield more product after a given reaction time. Variation of the electronics of the catalysts influences the yield of product; electron rich catalysts yield more product. Another area of interest is focused on the synthesis of new electrophilic iridium complexes that are capable of catalytically activating strong C-H bonds, which could then be functionalized. Progress towards the synthesis and catalytic activity of iridium complexes containing pincer type [N,N,N]-pyridinesulfonamide ligands are described. Preliminary results highlighting catalytic H/D exchange reactions with benzene are also included.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8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2246382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Analytical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Vadoud Niri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Geoffrey Peterson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Allan Donahoe </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State University of New York at Oswego, Oswego,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 w:anchor="2246382" w:history="1">
                    <w:r w:rsidRPr="0005639F">
                      <w:rPr>
                        <w:rFonts w:ascii="Times New Roman" w:eastAsia="Times New Roman" w:hAnsi="Times New Roman" w:cs="Times New Roman"/>
                        <w:color w:val="0000FF"/>
                        <w:sz w:val="20"/>
                        <w:szCs w:val="20"/>
                        <w:u w:val="single"/>
                      </w:rPr>
                      <w:t>Chemical Analysis of Electronic Cigarettes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purpose of this study was to develop a comprehensive chemical composition of e-cigarette aerosols of various manufacturers and flavors to get a complete understanding of the chemicals they contain. Unlike most previous works on e-cigarettes in which the liquid favor has been analyzed, the vapor of the e-cigarettes has been analyzed in this work to get information about the chemicals actually inhaled by using these products. Two solvent-free sampling techniques including Solid Phase Microextraction (SPME) and Needle Trap Device (NTD) were used for sampling e-cigarette vapors and Gas Chromatography-Mass Spectrometry (GC/MS) technique was used for separation and identification of components of the collected samples. SPME was able to collect more volatile compounds whereas NTD collected les volatile compounds. All the compounds were identified using mass spectra and Kovat’s retention index method. The results of this research can be consulted when future laws are made concerning e-cigarettes.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9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2278643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Analytical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Jens Breffke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Sean McCarthy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Mark Maroncelli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Penn State Univ, University Park,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 w:anchor="2278643" w:history="1">
                    <w:r w:rsidRPr="0005639F">
                      <w:rPr>
                        <w:rFonts w:ascii="Times New Roman" w:eastAsia="Times New Roman" w:hAnsi="Times New Roman" w:cs="Times New Roman"/>
                        <w:b/>
                        <w:bCs/>
                        <w:color w:val="0000FF"/>
                        <w:sz w:val="20"/>
                        <w:szCs w:val="20"/>
                        <w:u w:val="single"/>
                      </w:rPr>
                      <w:t>Revisiting Thioflavin T as fibrilization sensor: What is actually probed?</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Thioflavin T (ThT) was discovered in the 1960s as a potent fluorescencing sensor for amyloid-related diseases and has been employed as such for decades. Amyloid fibrils are aggregates of proteins which possess a rigid and filamentary structure. Their accumulation in living cells is associated with a number of diseases like Alzheimer’s and Parkinson’s diseases and type II diabetes. Gaining a better understanding of the dynamics of the fibrillation is an imperative in the pursuit to find a cure.</w:t>
                  </w:r>
                  <w:r w:rsidRPr="0005639F">
                    <w:rPr>
                      <w:rFonts w:ascii="Times New Roman" w:eastAsia="Times New Roman" w:hAnsi="Times New Roman" w:cs="Times New Roman"/>
                      <w:sz w:val="20"/>
                      <w:szCs w:val="20"/>
                    </w:rPr>
                    <w:br/>
                    <w:t>ThT was found to be non-interacting with either folded or unfolded proteins but to bind highly selectively to amyloids. Upon binding its fluorescence quantum yield increases by 2 to 3 orders of magnitude indicating a significant rigidification of its surroundings. This increase of quantum yield allows one to follow the fibrillization process by monitoring fluorescence intensities.</w:t>
                  </w:r>
                  <w:r w:rsidRPr="0005639F">
                    <w:rPr>
                      <w:rFonts w:ascii="Times New Roman" w:eastAsia="Times New Roman" w:hAnsi="Times New Roman" w:cs="Times New Roman"/>
                      <w:sz w:val="20"/>
                      <w:szCs w:val="20"/>
                    </w:rPr>
                    <w:br/>
                    <w:t>Despite its wide and established use, the actual excited state dynamics of ThT remained unclear for the longest time. Experimental and computational studies over the last decade indicate that upon photoexcitation ThT undergoes an out-of-plane rotation between the benzothiazole and the aniline groups which quenches its fluorescence. In our present work the excited-state dynamics of ThT has been studied in a series of selected solvents to characterize the quenching mechanism in more detail. Because recent work by Hsu and coworkers shows evidence of auto-degradation of ThT we have performed extensive purification of the probe itself. We find that the fluorescence quenching is strongly correlated to both solvent viscosity and solvation time. There is a clear distinction between protic (alcohols) and aprotic solvents with respect to both of these correlations.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9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2283063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Analytical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John C. Edwards</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Gonzalo Hernandez</w:t>
                  </w:r>
                  <w:r w:rsidRPr="0005639F">
                    <w:rPr>
                      <w:rFonts w:ascii="Times New Roman" w:eastAsia="Times New Roman" w:hAnsi="Times New Roman" w:cs="Times New Roman"/>
                      <w:sz w:val="20"/>
                      <w:szCs w:val="20"/>
                      <w:vertAlign w:val="superscript"/>
                    </w:rPr>
                    <w:t>2, 3</w:t>
                  </w:r>
                  <w:r w:rsidRPr="0005639F">
                    <w:rPr>
                      <w:rFonts w:ascii="Times New Roman" w:eastAsia="Times New Roman" w:hAnsi="Times New Roman" w:cs="Times New Roman"/>
                      <w:sz w:val="20"/>
                      <w:szCs w:val="20"/>
                    </w:rPr>
                    <w:t>, Paul J. Giammatteo</w:t>
                  </w:r>
                  <w:r w:rsidRPr="0005639F">
                    <w:rPr>
                      <w:rFonts w:ascii="Times New Roman" w:eastAsia="Times New Roman" w:hAnsi="Times New Roman" w:cs="Times New Roman"/>
                      <w:sz w:val="20"/>
                      <w:szCs w:val="20"/>
                      <w:vertAlign w:val="superscript"/>
                    </w:rPr>
                    <w:t>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Process NMR Assoc LLC, Danbury, CT, United States. </w:t>
                  </w:r>
                  <w:r w:rsidRPr="0005639F">
                    <w:rPr>
                      <w:rFonts w:ascii="Times New Roman" w:eastAsia="Times New Roman" w:hAnsi="Times New Roman" w:cs="Times New Roman"/>
                      <w:sz w:val="20"/>
                      <w:szCs w:val="20"/>
                    </w:rPr>
                    <w:br/>
                    <w:t xml:space="preserve">2. SpinMetrix SRL, Montevideo, Uruguay. </w:t>
                  </w:r>
                  <w:r w:rsidRPr="0005639F">
                    <w:rPr>
                      <w:rFonts w:ascii="Times New Roman" w:eastAsia="Times New Roman" w:hAnsi="Times New Roman" w:cs="Times New Roman"/>
                      <w:sz w:val="20"/>
                      <w:szCs w:val="20"/>
                    </w:rPr>
                    <w:br/>
                    <w:t xml:space="preserve">3. Vis Magnetica , Montevideo, Uruguay. </w:t>
                  </w:r>
                  <w:r w:rsidRPr="0005639F">
                    <w:rPr>
                      <w:rFonts w:ascii="Times New Roman" w:eastAsia="Times New Roman" w:hAnsi="Times New Roman" w:cs="Times New Roman"/>
                      <w:sz w:val="20"/>
                      <w:szCs w:val="20"/>
                    </w:rPr>
                    <w:br/>
                    <w:t xml:space="preserve">4. Process NMR Associates,LLC, Danbury,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 w:anchor="2283063" w:history="1">
                    <w:r w:rsidRPr="0005639F">
                      <w:rPr>
                        <w:rFonts w:ascii="Times New Roman" w:eastAsia="Times New Roman" w:hAnsi="Times New Roman" w:cs="Times New Roman"/>
                        <w:color w:val="0000FF"/>
                        <w:sz w:val="20"/>
                        <w:szCs w:val="20"/>
                        <w:u w:val="single"/>
                      </w:rPr>
                      <w:t>Nutritional Supplement and Diesel Fuel Application Development for Benchtop NMR Systems Operating at 42, 60, and 80 MHz – Equivalency with Supercon NMR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Benchtop high-resolution NMR systems are available at a number of field strengths and probe configurations. However beyond the obvious academic instruction market for these instruments very few applications have been demonstrated across all available platforms and thus proving the general applicability of </w:t>
                  </w:r>
                  <w:r w:rsidRPr="0005639F">
                    <w:rPr>
                      <w:rFonts w:ascii="Times New Roman" w:eastAsia="Times New Roman" w:hAnsi="Times New Roman" w:cs="Times New Roman"/>
                      <w:sz w:val="20"/>
                      <w:szCs w:val="20"/>
                    </w:rPr>
                    <w:lastRenderedPageBreak/>
                    <w:t>benchtop NMR technology to industrial quality control. We will present two chemometric-based applications that have been developed at 4 different field strengths utilizing Varian Mercury 300 MHz, Magritek Spinsolve 42 MHz, Aspect AI 60 MHz, and Thermo Picospin 80 MHz NMR systems. Partial-least-squares (PLS) regression correlations were obtained on all 4 platforms relating to:</w:t>
                  </w:r>
                  <w:r w:rsidRPr="0005639F">
                    <w:rPr>
                      <w:rFonts w:ascii="Times New Roman" w:eastAsia="Times New Roman" w:hAnsi="Times New Roman" w:cs="Times New Roman"/>
                      <w:sz w:val="20"/>
                      <w:szCs w:val="20"/>
                    </w:rPr>
                    <w:br/>
                    <w:t>1) Omega-3 fatty acid composition of samples taken from various points in a nutritional supplement manufacturing process. Excellent correlations were obtained on all 4 NMR instruments proving that NMR technology is applicable to in-lab, at-line. or on-line analysis of fish oil derived omega-3 fatty acid supplements. The 40 second NMR analysis effectively replaces a 60+ minute GC analysis.</w:t>
                  </w:r>
                  <w:r w:rsidRPr="0005639F">
                    <w:rPr>
                      <w:rFonts w:ascii="Times New Roman" w:eastAsia="Times New Roman" w:hAnsi="Times New Roman" w:cs="Times New Roman"/>
                      <w:sz w:val="20"/>
                      <w:szCs w:val="20"/>
                    </w:rPr>
                    <w:br/>
                    <w:t xml:space="preserve">2) Physical and chemical property determination of diesel fuels where excellent correlations were obtained between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H NMR variability and parameters such as density, aromatic content by GC, hydrogen content by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H TD-NMR (ASTM D7171 method), and sulfur content.</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Finally, we will present the concept and initial results from an independent server-based NMR application software that can be utilized in conjunction with the NMR software of the current benchtop NMR systems, or alternatively as a stand-alone application platform. This software would effectively make chemometric and direct measurement NMR application ubiquitous across all NMR platforms.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9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2286391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Analytical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Qing Guo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Vernon N. Reinhold</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Univerisity of New Hampshire, Durham, NH, United States. </w:t>
                  </w:r>
                  <w:r w:rsidRPr="0005639F">
                    <w:rPr>
                      <w:rFonts w:ascii="Times New Roman" w:eastAsia="Times New Roman" w:hAnsi="Times New Roman" w:cs="Times New Roman"/>
                      <w:sz w:val="20"/>
                      <w:szCs w:val="20"/>
                    </w:rPr>
                    <w:br/>
                    <w:t xml:space="preserve">2. University of New Hampshire, Durham, NH,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 w:anchor="2286391" w:history="1">
                    <w:r w:rsidRPr="0005639F">
                      <w:rPr>
                        <w:rFonts w:ascii="Times New Roman" w:eastAsia="Times New Roman" w:hAnsi="Times New Roman" w:cs="Times New Roman"/>
                        <w:color w:val="0000FF"/>
                        <w:sz w:val="20"/>
                        <w:szCs w:val="20"/>
                        <w:u w:val="single"/>
                      </w:rPr>
                      <w:t>DEVELOPMENT OF AN ISOTOPIC APPROACH FOR DETAILING HEPARIN SEQUENCES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Heparin and heparin sulfates are carbohydrate polyionic polymers that participate in a host of critically important biological processes such as blood anticoagulation, pathogen infection, cell differentiation, growth, migration and inflammation, to mention a few. A century has passed since heparin’s initial discovery with a fair understanding of its overall composition. Unfortunately, there has been no structural work at the detailed chemical level that might support a synthetic effort. In this study, we utilize a chemical derivatization strategy (dual permethylation) that imparts isotopic structural specificity, which can be followed by step-wise disassembly in an ion trap mass spectrometer, (MS</w:t>
                  </w:r>
                  <w:r w:rsidRPr="0005639F">
                    <w:rPr>
                      <w:rFonts w:ascii="Times New Roman" w:eastAsia="Times New Roman" w:hAnsi="Times New Roman" w:cs="Times New Roman"/>
                      <w:sz w:val="20"/>
                      <w:szCs w:val="20"/>
                      <w:vertAlign w:val="superscript"/>
                    </w:rPr>
                    <w:t>n</w:t>
                  </w:r>
                  <w:r w:rsidRPr="0005639F">
                    <w:rPr>
                      <w:rFonts w:ascii="Times New Roman" w:eastAsia="Times New Roman" w:hAnsi="Times New Roman" w:cs="Times New Roman"/>
                      <w:sz w:val="20"/>
                      <w:szCs w:val="20"/>
                    </w:rPr>
                    <w:t>). A set of analytical protocols is described that introduces a probable sequencing strategy for heparin analogs. Following derivatization, the O-sulfo groups are converted to deutero methyl esters and the N</w:t>
                  </w:r>
                  <w:r w:rsidRPr="0005639F">
                    <w:rPr>
                      <w:rFonts w:ascii="Times New Roman" w:eastAsia="Times New Roman" w:hAnsi="Times New Roman" w:cs="Times New Roman"/>
                      <w:sz w:val="20"/>
                      <w:szCs w:val="20"/>
                    </w:rPr>
                    <w:noBreakHyphen/>
                    <w:t>sulfo groups are converted to N-deutero acetyl groups. Mass shifts among derivatized products with differential isotopic labeling verified the numbers of N</w:t>
                  </w:r>
                  <w:r w:rsidRPr="0005639F">
                    <w:rPr>
                      <w:rFonts w:ascii="Times New Roman" w:eastAsia="Times New Roman" w:hAnsi="Times New Roman" w:cs="Times New Roman"/>
                      <w:sz w:val="20"/>
                      <w:szCs w:val="20"/>
                    </w:rPr>
                    <w:noBreakHyphen/>
                    <w:t>sulfo groups and O-sulfo groups, while sulfo group positions were characterized by MS</w:t>
                  </w:r>
                  <w:r w:rsidRPr="0005639F">
                    <w:rPr>
                      <w:rFonts w:ascii="Times New Roman" w:eastAsia="Times New Roman" w:hAnsi="Times New Roman" w:cs="Times New Roman"/>
                      <w:sz w:val="20"/>
                      <w:szCs w:val="20"/>
                      <w:vertAlign w:val="superscript"/>
                    </w:rPr>
                    <w:t xml:space="preserve">n </w:t>
                  </w:r>
                  <w:r w:rsidRPr="0005639F">
                    <w:rPr>
                      <w:rFonts w:ascii="Times New Roman" w:eastAsia="Times New Roman" w:hAnsi="Times New Roman" w:cs="Times New Roman"/>
                      <w:sz w:val="20"/>
                      <w:szCs w:val="20"/>
                    </w:rPr>
                    <w:t>analysis on selected precursor ions. Documentation has been studied with simple heparin/heparin sulfates disaccharides and a synthetic octasulfated pentasaccharide (Arixtra</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Determination of this analogous composition, sequence and sulfonation patterns were accomplished by MS</w:t>
                  </w:r>
                  <w:r w:rsidRPr="0005639F">
                    <w:rPr>
                      <w:rFonts w:ascii="Times New Roman" w:eastAsia="Times New Roman" w:hAnsi="Times New Roman" w:cs="Times New Roman"/>
                      <w:sz w:val="20"/>
                      <w:szCs w:val="20"/>
                      <w:vertAlign w:val="superscript"/>
                    </w:rPr>
                    <w:t>n</w:t>
                  </w:r>
                  <w:r w:rsidRPr="0005639F">
                    <w:rPr>
                      <w:rFonts w:ascii="Times New Roman" w:eastAsia="Times New Roman" w:hAnsi="Times New Roman" w:cs="Times New Roman"/>
                      <w:sz w:val="20"/>
                      <w:szCs w:val="20"/>
                    </w:rPr>
                    <w:t>. The protocols provide unique insights into monomer sequence with monomer structural detail observed by cross</w:t>
                  </w:r>
                  <w:r w:rsidRPr="0005639F">
                    <w:rPr>
                      <w:rFonts w:ascii="Times New Roman" w:eastAsia="Times New Roman" w:hAnsi="Times New Roman" w:cs="Times New Roman"/>
                      <w:sz w:val="20"/>
                      <w:szCs w:val="20"/>
                    </w:rPr>
                    <w:noBreakHyphen/>
                    <w:t>ring fragments often resolved by deuterated isotopic labeling.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lastRenderedPageBreak/>
              <w:pict>
                <v:rect id="_x0000_i339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2292402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Analytical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Stephen Ambrozik</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Nikolay G. Dimitrov</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Binghamton, Binghamton, NY, United States. </w:t>
                  </w:r>
                  <w:r w:rsidRPr="0005639F">
                    <w:rPr>
                      <w:rFonts w:ascii="Times New Roman" w:eastAsia="Times New Roman" w:hAnsi="Times New Roman" w:cs="Times New Roman"/>
                      <w:sz w:val="20"/>
                      <w:szCs w:val="20"/>
                    </w:rPr>
                    <w:br/>
                    <w:t xml:space="preserve">2. Chemistry, State University of New York at Binghamton, Johnson City,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 w:anchor="2292402" w:history="1">
                    <w:r w:rsidRPr="0005639F">
                      <w:rPr>
                        <w:rFonts w:ascii="Times New Roman" w:eastAsia="Times New Roman" w:hAnsi="Times New Roman" w:cs="Times New Roman"/>
                        <w:color w:val="0000FF"/>
                        <w:sz w:val="20"/>
                        <w:szCs w:val="20"/>
                        <w:u w:val="single"/>
                      </w:rPr>
                      <w:t>Pt Deposition via Electroless of Surface Limited Redox Replacement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With the drive for alternative methods of harnessing energy Pt and Pt group metals have drawn great interest in both the academic and industrial communities. However due to high it's cost, when using Pt it is necessary to minimize Pt loading while maximizing catalyst activity. To that end electrochemical fabrication methods have garnered great interest due to their ease, low cost and excellent control. </w:t>
                  </w:r>
                  <w:r w:rsidRPr="0005639F">
                    <w:rPr>
                      <w:rFonts w:ascii="Times New Roman" w:eastAsia="Times New Roman" w:hAnsi="Times New Roman" w:cs="Times New Roman"/>
                      <w:sz w:val="20"/>
                      <w:szCs w:val="20"/>
                    </w:rPr>
                    <w:br/>
                    <w:t>Surface Limited Redox Replacement (SLRR) is an electrochemical deposition technique that has shown the ability to overcome some of the drawbacks of conventional electrodeposition such as preferential deposition at high energy surface defect sites. However, SLRR does carry some deficiencies. This is primarily because SLRR involves UPD layer formation at a given time through the utilization of an external power source. When utilizing a technique for the production of energy materials it is necessary to take into account not only the monetary cost, but also the energy cost of said material. To that end Electroless Surface Limited Redox Replacement (ESLRR) has been developed. ESLRR involves, instead of the utilization of an external power source to mediate Pt deposition a galvanic couple is used. This results in deposition being driven by the stripping of material and an executive electrode as the electron source, through a mediator UPD metal, for Pt reduction. ESLRR has been fundamentally developed for the deposition of Ag and has demonstrated an outstanding layer by layer growth mode and surface area consistency over a wide range of thicknesses.</w:t>
                  </w:r>
                  <w:r w:rsidRPr="0005639F">
                    <w:rPr>
                      <w:rFonts w:ascii="Times New Roman" w:eastAsia="Times New Roman" w:hAnsi="Times New Roman" w:cs="Times New Roman"/>
                      <w:sz w:val="20"/>
                      <w:szCs w:val="20"/>
                    </w:rPr>
                    <w:br/>
                    <w:t>The fundamentals of the ESLRR of Pt on Au utilizing Pb and Cu mediation will be demonstrated through; potential prediction via mixed potential theory, stripping kinetics during transient regimes with various executive electrodes (Pb, Cu, Pd-H). Deposit roughness evolution will be characterized via electrochemical methods, and surface morphology will be characterized via STM in order to determine ESLRRs suitability for catalyst production.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9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2283283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Yuegang Zuo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Mohammed Alshanqiti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Avis L. Francis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Joseph Michael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Massachusetts Dartmouth, North Dartmouth,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 w:anchor="2283283" w:history="1">
                    <w:r w:rsidRPr="0005639F">
                      <w:rPr>
                        <w:rFonts w:ascii="Times New Roman" w:eastAsia="Times New Roman" w:hAnsi="Times New Roman" w:cs="Times New Roman"/>
                        <w:color w:val="0000FF"/>
                        <w:sz w:val="20"/>
                        <w:szCs w:val="20"/>
                        <w:u w:val="single"/>
                      </w:rPr>
                      <w:t>Determination of bisphenol A analogues and their photochemical degradation in fresh and marine coastal waters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Bisphenol A is widely used in plastic and other industrial consumer products. Release of bisphenol A and its analogues into the aquatic environment during manufacture, use and disposal has been a great scientific and public concern due to their toxicity and endocrine disrupting effect on aquatic wildlife and even human beings. More recent studies have shown that these alkylphenols may be bioaccumulated in crustacean tissues and other aquatic organisms from polluted water and affect the molting processes and survival of American lobster, crab, shrimp and other wild lives in natural water [Y. Zuo and Z. Zhu (2014) Simultaneous identification and </w:t>
                  </w:r>
                  <w:r w:rsidRPr="0005639F">
                    <w:rPr>
                      <w:rFonts w:ascii="Times New Roman" w:eastAsia="Times New Roman" w:hAnsi="Times New Roman" w:cs="Times New Roman"/>
                      <w:sz w:val="20"/>
                      <w:szCs w:val="20"/>
                    </w:rPr>
                    <w:lastRenderedPageBreak/>
                    <w:t>quantification of 4-cumylphenol, 2,4-bis-(dimethylbenzyl)phenol and bisphenol A in prawn Macrobrachium rosenbergii. Chemosphere 107, 447-453]. Thus, it is important to examine BPA analogues and their photodegradation in natural waters. In this study, we have developed GC-FID and GC-MS methods for the determination of bisphenol A and its analogues in fresh and coastal marine waters. Bisphenol A, 2,4-bis-(dimethylbenzyl)phenol and 4-cumylphenol were found in the concentration ranges of 2.07–2.55, 2.07–2.43, and 0.217-0.223 ng/L, respectively, in a fresh lake water. In New Bedford Harbor water samples, bisphenol A and 2,4-bis-(dimethybenzyl)phenol were detected in the concentration ranges of 2.16-2.82 and 2.70-4.62 ng/L, respectively; and no 4-cumylphenol was observed. The detailed kinetic study on the photodegradation of BPA and its analogues will be reported at the presentation.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9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2283446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Yuegang Zuo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Joseph Michael</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Mohammed Alshanqiti</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Faten Albalawi</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Massachusetts Dartmouth, North Dartmouth, MA, United States. </w:t>
                  </w:r>
                  <w:r w:rsidRPr="0005639F">
                    <w:rPr>
                      <w:rFonts w:ascii="Times New Roman" w:eastAsia="Times New Roman" w:hAnsi="Times New Roman" w:cs="Times New Roman"/>
                      <w:sz w:val="20"/>
                      <w:szCs w:val="20"/>
                    </w:rPr>
                    <w:br/>
                    <w:t xml:space="preserve">2. University of Massachusetts Dartmouth, North Dartmouth,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 w:anchor="2283446" w:history="1">
                    <w:r w:rsidRPr="0005639F">
                      <w:rPr>
                        <w:rFonts w:ascii="Times New Roman" w:eastAsia="Times New Roman" w:hAnsi="Times New Roman" w:cs="Times New Roman"/>
                        <w:b/>
                        <w:bCs/>
                        <w:color w:val="0000FF"/>
                        <w:sz w:val="20"/>
                        <w:szCs w:val="20"/>
                        <w:u w:val="single"/>
                      </w:rPr>
                      <w:t>Occurrence and identification of bisphenol A and other alkylphenols in sea crabs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global industrialization in recent decades has led to an increase in environmental pollutants from the development of commercial products, especially those from plastic components. Plastics are organic materials that are used in everyday households for a variety of functions. With the increase in volume of plastics in common everyday items like baby bottles, food cans and drinking bottles, there is a concern over the health effects that come with the exposure of plasticizers to humans and wild lives because plasticizers, such as alkylphenols and bisphenol A, are endocrine-disrupting chemicals (EDCs). Determining the levels of these EDCs in the environment and animals is important so that certain thresholds can be set to limit the health effects to the wildlife and humans. Both GC and HPLC techniques have been developed for determining BPA in the environment [Zuo, Y. Ed., </w:t>
                  </w:r>
                  <w:r w:rsidRPr="0005639F">
                    <w:rPr>
                      <w:rFonts w:ascii="Times New Roman" w:eastAsia="Times New Roman" w:hAnsi="Times New Roman" w:cs="Times New Roman"/>
                      <w:i/>
                      <w:iCs/>
                      <w:sz w:val="20"/>
                      <w:szCs w:val="20"/>
                    </w:rPr>
                    <w:t>High-Performance Liquid Chromatography (HPLC): Principles, Procedures and Practices.</w:t>
                  </w:r>
                  <w:r w:rsidRPr="0005639F">
                    <w:rPr>
                      <w:rFonts w:ascii="Times New Roman" w:eastAsia="Times New Roman" w:hAnsi="Times New Roman" w:cs="Times New Roman"/>
                      <w:sz w:val="20"/>
                      <w:szCs w:val="20"/>
                    </w:rPr>
                    <w:t xml:space="preserve"> Nova Science Publishers, Inc., New York (2014)]. The purpose of this experiment is to identify and quantify alkylphenols and bisphenol A in a local Asian Shore Crab species using GC-FID and GC-MS techniques. BPA and two of its analogues, 2,4-bis-(dimethylbenzyl)phenol and 4-cumylphenol, have been found in Asian crab samples. Further details will be discussed at the presentation.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9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2285430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Kathleen Morrisey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Ondrej Kubesa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Maria R. Hepel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Department of Chemistry, SUNY Potsdam,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 w:anchor="2285430" w:history="1">
                    <w:r w:rsidRPr="0005639F">
                      <w:rPr>
                        <w:rFonts w:ascii="Times New Roman" w:eastAsia="Times New Roman" w:hAnsi="Times New Roman" w:cs="Times New Roman"/>
                        <w:b/>
                        <w:bCs/>
                        <w:color w:val="0000FF"/>
                        <w:sz w:val="20"/>
                        <w:szCs w:val="20"/>
                        <w:u w:val="single"/>
                      </w:rPr>
                      <w:t>Screening for pesticides using enzyme-modified graphene/gold nanoparticle composite film biosensors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extensive use of pesticides in agriculture has significantly contributed to environmental pollution problems. The control of this pollution is of paramount importance to human health due to the high bioactivity of pesticides. Many pesticides have been found to show mutagenicity and their genotoxic properties may include carcinogenicity. Due to the widespread pesticide pollution, there is a need for field testing of water and soil for pesticide contamination. To tackle this challenge, sensitive, robust, and inexpensive sensors are required. One of the solutions is to develop enzymatic biosensors. Biosensors based on the principle of enzyme inhibition can be applied for detection of a variety of analytes such as organophosphate, carbamate and benzamide pesticides. We have investigated two types of enzymatic sensors: acetylcholinesterase- and butyrylcholinesterase-based biosensors. Acetylcholinesterase (ACE) and butyrylcholinesterase (BCE) are both used to hydrolyze choline esterase and are the primary targets of inhibition by many different pesticides. The inhibitors bind strongly to the enzyme molecule and block the substrates from entering the active serine site, hindering enzymes from catalyzing their reactions. In the presence of pesticides, the activity of ACE or BCE is inhibited and leads to a decrease in the current signal of an amperometric biosensor. The biosensor performance relies on quantitative measurements of the enzyme activity before and after the exposure to target pesticides. We have successfully developed amperometric biosensors with incorporated graphene into the biosensor surface for highly selective and sensitive determination of the following pesticides: aldicarb, trichlorofuran, carbofuran and diflubenzofuran. The modification with reduced graphene oxide (rGO), gold nanoparticles, and functional molecules has enabled us to increase the enzyme loading and thus the biosensor sensitivity.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9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2286367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Saira Bakshi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Jennifer Satterwhite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Gayatri Phadke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James Rusling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Evgeny Katz</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Clarkson University, Potsdam, NY, United States. </w:t>
                  </w:r>
                  <w:r w:rsidRPr="0005639F">
                    <w:rPr>
                      <w:rFonts w:ascii="Times New Roman" w:eastAsia="Times New Roman" w:hAnsi="Times New Roman" w:cs="Times New Roman"/>
                      <w:sz w:val="20"/>
                      <w:szCs w:val="20"/>
                    </w:rPr>
                    <w:br/>
                    <w:t xml:space="preserve">2. University of Connecticut, Storrs,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 w:anchor="2286367" w:history="1">
                    <w:r w:rsidRPr="0005639F">
                      <w:rPr>
                        <w:rFonts w:ascii="Times New Roman" w:eastAsia="Times New Roman" w:hAnsi="Times New Roman" w:cs="Times New Roman"/>
                        <w:color w:val="0000FF"/>
                        <w:sz w:val="20"/>
                        <w:szCs w:val="20"/>
                        <w:u w:val="single"/>
                      </w:rPr>
                      <w:t>A Microfluidic Immunosensor for Online Capture and Detection of Protein Cancer Biomarker CD-62L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Abstract: Accurate, sensitive, multiplexed detection of biomarker proteins holds significant promise for early intervention and POC application in cancer diagnostics. Here we describe an online capture and detection method for the cancer biomarker CD-62L, employing magnetic beads decorated with ~ 100,000 HRP enzyme and ~ 70,000 antibody labels. The use of a microfluidic device facilitates online capture abilities, which provides added benefits of low sample volume, low cost and improved assay efficiency. In addition, it enables rapid, sensitive, and reproducible protein detection. Amperometric detection with an 8-electrode antibody-decorated sensor is carried out with a HQ/H</w:t>
                  </w:r>
                  <w:r w:rsidRPr="0005639F">
                    <w:rPr>
                      <w:rFonts w:ascii="Times New Roman" w:eastAsia="Times New Roman" w:hAnsi="Times New Roman" w:cs="Times New Roman"/>
                      <w:b/>
                      <w:bCs/>
                      <w:sz w:val="20"/>
                      <w:szCs w:val="20"/>
                      <w:vertAlign w:val="subscript"/>
                    </w:rPr>
                    <w:t>2</w:t>
                  </w:r>
                  <w:r w:rsidRPr="0005639F">
                    <w:rPr>
                      <w:rFonts w:ascii="Times New Roman" w:eastAsia="Times New Roman" w:hAnsi="Times New Roman" w:cs="Times New Roman"/>
                      <w:b/>
                      <w:bCs/>
                      <w:sz w:val="20"/>
                      <w:szCs w:val="20"/>
                    </w:rPr>
                    <w:t>O</w:t>
                  </w:r>
                  <w:r w:rsidRPr="0005639F">
                    <w:rPr>
                      <w:rFonts w:ascii="Times New Roman" w:eastAsia="Times New Roman" w:hAnsi="Times New Roman" w:cs="Times New Roman"/>
                      <w:b/>
                      <w:bCs/>
                      <w:sz w:val="20"/>
                      <w:szCs w:val="20"/>
                      <w:vertAlign w:val="subscript"/>
                    </w:rPr>
                    <w:t>2</w:t>
                  </w:r>
                  <w:r w:rsidRPr="0005639F">
                    <w:rPr>
                      <w:rFonts w:ascii="Times New Roman" w:eastAsia="Times New Roman" w:hAnsi="Times New Roman" w:cs="Times New Roman"/>
                      <w:b/>
                      <w:bCs/>
                      <w:sz w:val="20"/>
                      <w:szCs w:val="20"/>
                    </w:rPr>
                    <w:t xml:space="preserve"> system. With analysis time of 30 minutes per array, this immunoassay provides a detection limit of 5 pg mL</w:t>
                  </w:r>
                  <w:r w:rsidRPr="0005639F">
                    <w:rPr>
                      <w:rFonts w:ascii="Times New Roman" w:eastAsia="Times New Roman" w:hAnsi="Times New Roman" w:cs="Times New Roman"/>
                      <w:b/>
                      <w:bCs/>
                      <w:sz w:val="20"/>
                      <w:szCs w:val="20"/>
                      <w:vertAlign w:val="superscript"/>
                    </w:rPr>
                    <w:t>-1</w:t>
                  </w:r>
                  <w:r w:rsidRPr="0005639F">
                    <w:rPr>
                      <w:rFonts w:ascii="Times New Roman" w:eastAsia="Times New Roman" w:hAnsi="Times New Roman" w:cs="Times New Roman"/>
                      <w:b/>
                      <w:bCs/>
                      <w:sz w:val="20"/>
                      <w:szCs w:val="20"/>
                    </w:rPr>
                    <w:t xml:space="preserve"> and dynamic range up to 625 pg mL</w:t>
                  </w:r>
                  <w:r w:rsidRPr="0005639F">
                    <w:rPr>
                      <w:rFonts w:ascii="Times New Roman" w:eastAsia="Times New Roman" w:hAnsi="Times New Roman" w:cs="Times New Roman"/>
                      <w:b/>
                      <w:bCs/>
                      <w:sz w:val="20"/>
                      <w:szCs w:val="20"/>
                      <w:vertAlign w:val="superscript"/>
                    </w:rPr>
                    <w:t>-1</w:t>
                  </w:r>
                  <w:r w:rsidRPr="0005639F">
                    <w:rPr>
                      <w:rFonts w:ascii="Times New Roman" w:eastAsia="Times New Roman" w:hAnsi="Times New Roman" w:cs="Times New Roman"/>
                      <w:b/>
                      <w:bCs/>
                      <w:sz w:val="20"/>
                      <w:szCs w:val="20"/>
                    </w:rPr>
                    <w:t xml:space="preserve"> for CD-62L in serum.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9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2287481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Muhammad Hossen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Michael Mason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Aimee Co</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Matt Talbot</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University of Maine, Orono, ME, United States. </w:t>
                  </w:r>
                  <w:r w:rsidRPr="0005639F">
                    <w:rPr>
                      <w:rFonts w:ascii="Times New Roman" w:eastAsia="Times New Roman" w:hAnsi="Times New Roman" w:cs="Times New Roman"/>
                      <w:sz w:val="20"/>
                      <w:szCs w:val="20"/>
                    </w:rPr>
                    <w:br/>
                    <w:t xml:space="preserve">2. Chemical and Biological Engineering, University of Maine, Orono, ME,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 w:anchor="2287481" w:history="1">
                    <w:r w:rsidRPr="0005639F">
                      <w:rPr>
                        <w:rFonts w:ascii="Times New Roman" w:eastAsia="Times New Roman" w:hAnsi="Times New Roman" w:cs="Times New Roman"/>
                        <w:color w:val="0000FF"/>
                        <w:sz w:val="20"/>
                        <w:szCs w:val="20"/>
                        <w:u w:val="single"/>
                      </w:rPr>
                      <w:t>Detection of Organic Water Pollutants Using Nanoparticle Impregnated SERS (Surface Enhanced Raman Spectroscopy) Substrate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Detection and identification of organic pollutants in water is critical for human and environmental health and often time consuming and costly. Highly sensitive analytical methods involve large and often prohibitively expensive equipment. Therefore a cost effective and portable technique would be required for frequent and widespread field assessment of pollutants. Of all common analytical techniques, vibrational spectroscopy is the least complicated and potentially more suitable for these applications. Unlike other vibrational methods, such as IR absorption, Raman spectroscopy is a promising tool to analyze water pollutants because of its ability to utilize visible wavelengths where water is transparent. Conventional methods of Raman spectroscopy, however, are not suitable for this purpose due to the extremely weak signals produced. Silver nanoparticle surfaces have been widely investigated for their ability to enhance the Raman signal (SERS) due to tunable nanoparticle surface plasmonic properties. The challenge has been fabricating consistent, low cost, easily reproducible and efficient silver nanoparticle substrates to serve this purpose. Impregnation of silver nanoparticles into porous transparent matrices represents an alternative approach where microcapillary forces help to concentrate analytes within a 3D Raman enhancing matrix, potentially providing signal enhancement and reproducibility over planar silver substrates. Here recent data will be presented characterizing the nanoparticle/matrix system under investigation. Additionally, recent data on the effectiveness of the proposed substrate for SERS (Surface Enhanced Raman Spectroscopy) signal enhancement using molecular analyte standards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39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2289897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Ellen Rubinstein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Katlynn Muratore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Payal Patel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and Physics, Monmouth University, West Long Branch, NJ, United States. </w:t>
                  </w:r>
                  <w:r w:rsidRPr="0005639F">
                    <w:rPr>
                      <w:rFonts w:ascii="Times New Roman" w:eastAsia="Times New Roman" w:hAnsi="Times New Roman" w:cs="Times New Roman"/>
                      <w:sz w:val="20"/>
                      <w:szCs w:val="20"/>
                    </w:rPr>
                    <w:br/>
                    <w:t xml:space="preserve">2. Monmouth University, West Long Branch,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 w:anchor="2289897" w:history="1">
                    <w:r w:rsidRPr="0005639F">
                      <w:rPr>
                        <w:rFonts w:ascii="Times New Roman" w:eastAsia="Times New Roman" w:hAnsi="Times New Roman" w:cs="Times New Roman"/>
                        <w:color w:val="0000FF"/>
                        <w:sz w:val="20"/>
                        <w:szCs w:val="20"/>
                        <w:u w:val="single"/>
                      </w:rPr>
                      <w:t>Monmouth County Coastal Lakes: Analysis of Nutrients, Dissolved Oxygen, and Salinity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Due to concerns based upon 2012 studies, which found higher than minimum eutrophic level nitrate concentrations in several Monmouth County coastal lakes, monitoring of these lakes has been continued and expanded. Potential negative effects on the aquatic ecosystem include damage to fish populations and pollution of the ocean,which is in close proximity to the eastern ends of these lakes. Dissolved oxygen and total salinity </w:t>
                  </w:r>
                  <w:r w:rsidRPr="0005639F">
                    <w:rPr>
                      <w:rFonts w:ascii="Times New Roman" w:eastAsia="Times New Roman" w:hAnsi="Times New Roman" w:cs="Times New Roman"/>
                      <w:sz w:val="20"/>
                      <w:szCs w:val="20"/>
                    </w:rPr>
                    <w:lastRenderedPageBreak/>
                    <w:t>analysis were incorporated in 2013. Narrow land masses separate these coastal lakes from the ocean. In October of 2012, breaches occurred in several locations due to the impact of Superstorm Sandy. This year, we returned to a few lakes not studied since the summer of 2012, to examine recovery by comparing current nutrient and pH values in these lakes with pre-storm data. Samples were collected at the eastern ends of the lakes, since the outflow will affect the ocean. Vernier sensors were used, in conjunction with a LabQuest 2, to measure dissolved oxygen and temperature on-site. Vernier electrodes were used in the laboratory, with the LoggerPro computer program, to determine concentrations of nitrate ions, pH, and salinity. Contributions to the understanding of the health of Monmouth County lakes are made via these analyses. Future studies may benefit from sample collection and data analysis throughout the year, to examine possible changes in these parameters with temperature over time. Where continued high levels of nutrients or low levels of dissolved oxygen are measured, efforts at remediation may be indicated.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2290976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Hillary Jufer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Elmer-Rico E. Mojica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Physical Sciences, Pace University, New York, NY, United States. </w:t>
                  </w:r>
                  <w:r w:rsidRPr="0005639F">
                    <w:rPr>
                      <w:rFonts w:ascii="Times New Roman" w:eastAsia="Times New Roman" w:hAnsi="Times New Roman" w:cs="Times New Roman"/>
                      <w:sz w:val="20"/>
                      <w:szCs w:val="20"/>
                    </w:rPr>
                    <w:br/>
                    <w:t xml:space="preserve">2. Environmental Science Program , Pace University, Pleasantville,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 w:anchor="2290976" w:history="1">
                    <w:r w:rsidRPr="0005639F">
                      <w:rPr>
                        <w:rFonts w:ascii="Times New Roman" w:eastAsia="Times New Roman" w:hAnsi="Times New Roman" w:cs="Times New Roman"/>
                        <w:b/>
                        <w:bCs/>
                        <w:color w:val="0000FF"/>
                        <w:sz w:val="20"/>
                        <w:szCs w:val="20"/>
                        <w:u w:val="single"/>
                      </w:rPr>
                      <w:t>Interaction of Tetracycline Antibiotics with Nanoceramics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Tetracyclines (TCs) are among the antibiotics that are used extensively for disease control and in livestock feed for several decades due to their great therapeutic properties. The widespread use of TCs and other antibiotics has led to dissemination of these compounds into water and soil environments. Its electron-rich ketone, carboxyl, amino, and hydroxyl groups contribute to their strong tendency to complex with metals. In particular, several studies have demonstrated the strong adsorption of TCs with aluminum oxide surfaces. In this study, the interaction of several TCs (tetracycline, doxycycline and oxytetracycline) with nanoceramics, specifically silicon oxide and zinc oxide, was monitored using UV-Vis absorbance and fluorescence. Results illustrate a change in the absorbance profile and a reduction in emission intensity in TCs solutions containing the nanoceramics, which clearly indicates an interaction taking place between the TCs and nanoceramics. The difference between the TCs solution with and without nanoceramics will also be monitored using high performance liquid chromatography.</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2290979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Elmer-Rico E. Mojica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Dept of Chemistry Physical Sciences, Pace University,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 w:anchor="2290979" w:history="1">
                    <w:r w:rsidRPr="0005639F">
                      <w:rPr>
                        <w:rFonts w:ascii="Times New Roman" w:eastAsia="Times New Roman" w:hAnsi="Times New Roman" w:cs="Times New Roman"/>
                        <w:b/>
                        <w:bCs/>
                        <w:color w:val="0000FF"/>
                        <w:sz w:val="20"/>
                        <w:szCs w:val="20"/>
                        <w:u w:val="single"/>
                      </w:rPr>
                      <w:t>Nanometal oxides as potential remediating materials in removing heavy metals in water samples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Nanomaterials are materials possessing grain sizes on the order of a billionth of a meter (nanometer). Nanomaterials possess unique, beneficial chemical, physical and mechanical properties and they have been used for a wide variety of applications. They have been used as a remediation material in removing pollutants such as chlorinated solvents (polychlorinated biphenyls) and heavy metals (chromium). In this study, several commercially available nanomaterials (metal oxides) have been utilized for binding studies with different heavy metals such as lead, nickel and cobalt ion in aqueous samples. Fixed amount of the nanomaterials were added to metal solutions of known concentrations. Atomic absorption spectroscopy (AAS) was used to determine the amount of metals binding to the nanomaterials. The effect of pH and the presence of humic acid on the aqueous solution containing the metal ions was also performed to determine the optimized conditions in the removal of metal ions out of the aqueous solutions.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2290980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Rayona Wise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Elmer-Rico E. Mojica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Physical Sciences, Pace University, New York, NY, United States. </w:t>
                  </w:r>
                  <w:r w:rsidRPr="0005639F">
                    <w:rPr>
                      <w:rFonts w:ascii="Times New Roman" w:eastAsia="Times New Roman" w:hAnsi="Times New Roman" w:cs="Times New Roman"/>
                      <w:sz w:val="20"/>
                      <w:szCs w:val="20"/>
                    </w:rPr>
                    <w:br/>
                    <w:t xml:space="preserve">2. Environmental Science Program, Pace University, Pleasantville,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 w:anchor="2290980" w:history="1">
                    <w:r w:rsidRPr="0005639F">
                      <w:rPr>
                        <w:rFonts w:ascii="Times New Roman" w:eastAsia="Times New Roman" w:hAnsi="Times New Roman" w:cs="Times New Roman"/>
                        <w:b/>
                        <w:bCs/>
                        <w:color w:val="0000FF"/>
                        <w:sz w:val="20"/>
                        <w:szCs w:val="20"/>
                        <w:u w:val="single"/>
                      </w:rPr>
                      <w:t>Solid phase extraction of naproxen in environmental samples using molecularly imprinted polymer sorbents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Pharmaceuticals are continually being released into the environment. Because of their physical and chemical properties, many of them or their bioactive metabolites can accumulate in sediments, sludge and soils, and induce adverse effects in terrestrial organisms. However, due to the very limited methods permitting the detection of these low-level concentration compounds in such complex matrices, their concentrations in environmental samples remain largely unknown. Among these pharmaceuticals are NSAIDs or nonsteroidal anti-inflammatory drugs, a class of drugs that provides antipyretic (fever reducing), analgesic (pain-killing) and anti-inflmmatory effects . In this study, naproxen, one of the NSAIDs available over the counter, has been used as the target analyte in the development of sampling pretreatment method using commercially available molecularly imprinted polymer (MIP). The naproxen in water and soil samples was extracted using MIP and analyzed using gas-chromatography mass spectrometry (GC-MS).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2290982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AUTHORS (FIRST NAME, LAST NAME): </w:t>
                  </w:r>
                  <w:r w:rsidRPr="0005639F">
                    <w:rPr>
                      <w:rFonts w:ascii="Times New Roman" w:eastAsia="Times New Roman" w:hAnsi="Times New Roman" w:cs="Times New Roman"/>
                      <w:sz w:val="20"/>
                      <w:szCs w:val="20"/>
                      <w:u w:val="single"/>
                    </w:rPr>
                    <w:t>Robert L. Marvin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Normisha Evans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Elmer-Rico E. Mojica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Physical Sciences, Pace University,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 w:anchor="2290982" w:history="1">
                    <w:r w:rsidRPr="0005639F">
                      <w:rPr>
                        <w:rFonts w:ascii="Times New Roman" w:eastAsia="Times New Roman" w:hAnsi="Times New Roman" w:cs="Times New Roman"/>
                        <w:color w:val="0000FF"/>
                        <w:sz w:val="20"/>
                        <w:szCs w:val="20"/>
                        <w:u w:val="single"/>
                      </w:rPr>
                      <w:t>Solid Phase Extraction of Illicit Drugs (Amphetamine and Methamphetamine)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Analysis of illicit drugs such as amphetamines and its derivatives is usually done by chromatographic methods like gas chromatography (GC) and liquid chromatography (LC). Solid phase extraction (SPE) methods aim to isolate illicit drugs and their metabolites in complex biological samples like urine. They have become commercially available to improve drug analysis. Among these materials is a molecularly imprinted polymer (MIP), a class of polymer-based recognition elements tailored to target a specific chemical or a class of structurally related chemicals. In this study, two commercially available MIPs were used in extracting a mixture of amphetamine and methamphetamine from synthetic urine and water. Their performance was compared with one another and quantified using high performance liquid chromatography (HPLC).</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2291972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Lana M. Nitti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Timothy Thomas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Mohawk Valley Community College, Utica,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 w:anchor="2291972" w:history="1">
                    <w:r w:rsidRPr="0005639F">
                      <w:rPr>
                        <w:rFonts w:ascii="Times New Roman" w:eastAsia="Times New Roman" w:hAnsi="Times New Roman" w:cs="Times New Roman"/>
                        <w:b/>
                        <w:bCs/>
                        <w:color w:val="0000FF"/>
                        <w:sz w:val="20"/>
                        <w:szCs w:val="20"/>
                        <w:u w:val="single"/>
                      </w:rPr>
                      <w:t>Lead in our communities: A deeper distillation of chemistry and community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Childhood lead poisoning is of great concern within the United States, particularly in underprivileged communities due to their close proximity to industrial centers. These communities often are home to minority populations. Utica, New York has one of the highest instances of childhood lead poisoning per capita in the entire state. When confronting this important public health issue, it is important to examine all possible pathways to exposure. This research looked to confirm the existence of a secondary lead smelter in Utica through the examination of historical documents and analysis of soil samples, as former industry can be a significant pathway to lead exposure. We examined whether lead contaminated soil is a significant pathway to lead poisoning in Utica, New York. Soil sample sites were chosen based on geographic information system (GIS) mapping of instances of childhood lead poisoning developed by the Oneida County Health Department. Samples were digested and analyzed using Environmental Protection Agency (EPA) guidelines. Secondary analysis was obtained from the Cornell Nutrient Analysis Laboratory (CNAL) to validate the findings. The historical and chemical findings support the existence of a former lead smelter in downtown Utica, NY. However, the testing of the soil samples supports no correlation between lead concentration in soil and instances of lead poisoning. Therefore, continued examination of pathways to lead exposure and poisoning in Utica, NY is required.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2292154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Gram Townsend</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John P. Hassett</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Dept, SUNY ESF, Syracuse, NY, United States. </w:t>
                  </w:r>
                  <w:r w:rsidRPr="0005639F">
                    <w:rPr>
                      <w:rFonts w:ascii="Times New Roman" w:eastAsia="Times New Roman" w:hAnsi="Times New Roman" w:cs="Times New Roman"/>
                      <w:sz w:val="20"/>
                      <w:szCs w:val="20"/>
                    </w:rPr>
                    <w:br/>
                    <w:t xml:space="preserve">2. SUNY-ESF,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 w:anchor="2292154" w:history="1">
                    <w:r w:rsidRPr="0005639F">
                      <w:rPr>
                        <w:rFonts w:ascii="Times New Roman" w:eastAsia="Times New Roman" w:hAnsi="Times New Roman" w:cs="Times New Roman"/>
                        <w:b/>
                        <w:bCs/>
                        <w:color w:val="0000FF"/>
                        <w:sz w:val="20"/>
                        <w:szCs w:val="20"/>
                        <w:u w:val="single"/>
                      </w:rPr>
                      <w:t>Comparison of fine particles and adsorbed polycyclic aromatic hydrocarbons at rural and small urban sites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Polycyclic Aromatic Hydrocarbons (PAHs) are carcinogenic compounds emitted primarily from vehicle exhaust. Particulate matter with a diameter of 2.5 µm or less (PM2.5) is capable of transporting adsorbed PAHs deep into the respiratory system. In urban environments where prolonged exposure to vehicle exhaust is common, the benefits of a major thoroughfare must be weighed against the risks it poses to the well-being of the local population. This research analyzed the presence of 16 priority pollutant PAHs adsorbed to PM2.5 in the Syracuse area at sites of varying proximity to I-81 in order to better characterize the PAH and PM2.5 exposure associated with a major thoroughfare. The average PM2.5 concentrations were determined to be 7.48 µg/m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for the highway-adjacent site, 6.88 µg/m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for the urban site, and 5.04 µg/m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for the rural site. The average adsorbed PAH concentrations were determined to be 1.17 ng/m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for the highway-adjacent site, 0.671 ng/m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for the urban site, and 0.392 ng/m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for the rural site. Heavier, more mutagenic PAH concentrations, such as benzo(a)pyrene, were 50-70% higher than average at the highway-adjacent site. The increased PAH concentrations were observed with an enhanced proportion of benzo(g,h,i)perylene and other gasoline markers, suggesting that in small urban environments, major highways comprise a significant portion of carcinogenic risk associated with air quality. This risk is elevated significantly in the winter when PAH concentrations increase from summer concentrations by a factor of two. Areas well removed from the highway are less at risk, but are still influenced by regional transport of emissions and thus receive similar patterns of exposure. This research provides insight into the risks associated with a major highway in a small urban environment and can be utilized to evaluate the human health costs of transportation infrastructure.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2292333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Tatiana Del-Solar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Ulrich Englich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Michael Hodgman</w:t>
                  </w:r>
                  <w:r w:rsidRPr="0005639F">
                    <w:rPr>
                      <w:rFonts w:ascii="Times New Roman" w:eastAsia="Times New Roman" w:hAnsi="Times New Roman" w:cs="Times New Roman"/>
                      <w:sz w:val="20"/>
                      <w:szCs w:val="20"/>
                      <w:vertAlign w:val="superscript"/>
                    </w:rPr>
                    <w:t>2, 3</w:t>
                  </w:r>
                  <w:r w:rsidRPr="0005639F">
                    <w:rPr>
                      <w:rFonts w:ascii="Times New Roman" w:eastAsia="Times New Roman" w:hAnsi="Times New Roman" w:cs="Times New Roman"/>
                      <w:sz w:val="20"/>
                      <w:szCs w:val="20"/>
                    </w:rPr>
                    <w:t>, Michael Holland</w:t>
                  </w:r>
                  <w:r w:rsidRPr="0005639F">
                    <w:rPr>
                      <w:rFonts w:ascii="Times New Roman" w:eastAsia="Times New Roman" w:hAnsi="Times New Roman" w:cs="Times New Roman"/>
                      <w:sz w:val="20"/>
                      <w:szCs w:val="20"/>
                      <w:vertAlign w:val="superscript"/>
                    </w:rPr>
                    <w:t>2, 3</w:t>
                  </w:r>
                  <w:r w:rsidRPr="0005639F">
                    <w:rPr>
                      <w:rFonts w:ascii="Times New Roman" w:eastAsia="Times New Roman" w:hAnsi="Times New Roman" w:cs="Times New Roman"/>
                      <w:sz w:val="20"/>
                      <w:szCs w:val="20"/>
                    </w:rPr>
                    <w:t>, Susan Wojcik</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William Grant</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Erich Leitner</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Claudia Koraimann</w:t>
                  </w:r>
                  <w:r w:rsidRPr="0005639F">
                    <w:rPr>
                      <w:rFonts w:ascii="Times New Roman" w:eastAsia="Times New Roman" w:hAnsi="Times New Roman" w:cs="Times New Roman"/>
                      <w:sz w:val="20"/>
                      <w:szCs w:val="20"/>
                      <w:vertAlign w:val="superscript"/>
                    </w:rPr>
                    <w:t>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Forensic and National Security Sciences Institute, Syracuse University, Syracuse, NY, United States. </w:t>
                  </w:r>
                  <w:r w:rsidRPr="0005639F">
                    <w:rPr>
                      <w:rFonts w:ascii="Times New Roman" w:eastAsia="Times New Roman" w:hAnsi="Times New Roman" w:cs="Times New Roman"/>
                      <w:sz w:val="20"/>
                      <w:szCs w:val="20"/>
                    </w:rPr>
                    <w:br/>
                    <w:t xml:space="preserve">2. Upstate NY Poison Center, SUNY Upstate Medical University, Syracuse, NY, United States. </w:t>
                  </w:r>
                  <w:r w:rsidRPr="0005639F">
                    <w:rPr>
                      <w:rFonts w:ascii="Times New Roman" w:eastAsia="Times New Roman" w:hAnsi="Times New Roman" w:cs="Times New Roman"/>
                      <w:sz w:val="20"/>
                      <w:szCs w:val="20"/>
                    </w:rPr>
                    <w:br/>
                    <w:t xml:space="preserve">3. Department of Emergency Medicine, SUNY Upstate Medical University, Syracuse, NY, United States. </w:t>
                  </w:r>
                  <w:r w:rsidRPr="0005639F">
                    <w:rPr>
                      <w:rFonts w:ascii="Times New Roman" w:eastAsia="Times New Roman" w:hAnsi="Times New Roman" w:cs="Times New Roman"/>
                      <w:sz w:val="20"/>
                      <w:szCs w:val="20"/>
                    </w:rPr>
                    <w:br/>
                    <w:t xml:space="preserve">4. Institute of Analytical Chemistry and Food Chemistry, Graz University of Technology, Graz, Austria.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 w:anchor="2292333" w:history="1">
                    <w:r w:rsidRPr="0005639F">
                      <w:rPr>
                        <w:rFonts w:ascii="Times New Roman" w:eastAsia="Times New Roman" w:hAnsi="Times New Roman" w:cs="Times New Roman"/>
                        <w:color w:val="0000FF"/>
                        <w:sz w:val="20"/>
                        <w:szCs w:val="20"/>
                        <w:u w:val="single"/>
                      </w:rPr>
                      <w:t>Quantitation of Morphine Released form SR Pharmaceuticals in Gastric Fluid</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 the past 15 years, morphine formulated as a sustained release (SR) pharmaceutical has found widespread use (for example Avinza, King Pharmaceuticals; or Kadian, Alpharma, Inc.). Delayed toxicity due to overdose can occur, if the release of morphine from the formulation is accelerated owing to interactions with other medications or substances of abuse, e.g. alcohol. When patients with overdose symptoms arrive in the emergency room polyethylene glycol electrolyte lavage solution (PEG-ELS) is administered to purge the bowel which may interfere - similar to ethanol - with the release of morphine.</w:t>
                  </w:r>
                  <w:r w:rsidRPr="0005639F">
                    <w:rPr>
                      <w:rFonts w:ascii="Times New Roman" w:eastAsia="Times New Roman" w:hAnsi="Times New Roman" w:cs="Times New Roman"/>
                      <w:sz w:val="20"/>
                      <w:szCs w:val="20"/>
                    </w:rPr>
                    <w:br/>
                    <w:t xml:space="preserve">In a collaborative effort with the Upstate New York Poison Center we are developing a GCMS based protocol to </w:t>
                  </w:r>
                  <w:r w:rsidRPr="0005639F">
                    <w:rPr>
                      <w:rFonts w:ascii="Times New Roman" w:eastAsia="Times New Roman" w:hAnsi="Times New Roman" w:cs="Times New Roman"/>
                      <w:sz w:val="20"/>
                      <w:szCs w:val="20"/>
                    </w:rPr>
                    <w:lastRenderedPageBreak/>
                    <w:t>quantify the morphine content released from 3 different SR pharmaceuticals in simulated gastric fluid. The goal of this study is to determine if PEG-ELS affects the dissolution rate of SR morphine products.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2292497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Rohan Ravindranath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Alex Romaschin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Michael Thompson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University of Toronto, Toronto, ON, Canada. </w:t>
                  </w:r>
                  <w:r w:rsidRPr="0005639F">
                    <w:rPr>
                      <w:rFonts w:ascii="Times New Roman" w:eastAsia="Times New Roman" w:hAnsi="Times New Roman" w:cs="Times New Roman"/>
                      <w:sz w:val="20"/>
                      <w:szCs w:val="20"/>
                    </w:rPr>
                    <w:br/>
                    <w:t xml:space="preserve">2. Clinical Biochemistry, St. Michael's Hospital, Toronto, ON, Canada.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 w:anchor="2292497" w:history="1">
                    <w:r w:rsidRPr="0005639F">
                      <w:rPr>
                        <w:rFonts w:ascii="Times New Roman" w:eastAsia="Times New Roman" w:hAnsi="Times New Roman" w:cs="Times New Roman"/>
                        <w:color w:val="0000FF"/>
                        <w:sz w:val="20"/>
                        <w:szCs w:val="20"/>
                        <w:u w:val="single"/>
                      </w:rPr>
                      <w:t>Investigating the use of an Anti-CD144 coated cardiac stent, as a possible tool to combat restenosis in CAD patients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Stenosis is a symptom of coronary artery disease (CAD), and is caused by narrowing of arteries in the heart. Over the past several decades, medical implants such as cardiac stents have been deployed to counter stenosis. In patients with stent implants, narrowing of the artery can reoccur (restenosis) due to an immune response launched by the body towards the implanted stent. Restenosis is a major health concern for patients who have undergone heart surgery for CAD. Recently, there have been promising new approaches to combat restenosis. One such approach is the use of stents to capture circulating endothelial cells, thereby reducing the immune response elicited by stents. Our investigation involved developing a novel proof-of-concept stent with the ability to bind endothelial cells. Steel coupons were coated with a self-assembled monolayer (SAM) made of benzothiosulfonate (BTS). Whole anti-human CD144 (VE-cadherin) antibody was immobilized on the steel surface, which was then incubated in an endothelial cell culture for several days, </w:t>
                  </w:r>
                  <w:r w:rsidRPr="0005639F">
                    <w:rPr>
                      <w:rFonts w:ascii="Times New Roman" w:eastAsia="Times New Roman" w:hAnsi="Times New Roman" w:cs="Times New Roman"/>
                      <w:i/>
                      <w:iCs/>
                      <w:sz w:val="20"/>
                      <w:szCs w:val="20"/>
                    </w:rPr>
                    <w:t>in vitro</w:t>
                  </w:r>
                  <w:r w:rsidRPr="0005639F">
                    <w:rPr>
                      <w:rFonts w:ascii="Times New Roman" w:eastAsia="Times New Roman" w:hAnsi="Times New Roman" w:cs="Times New Roman"/>
                      <w:sz w:val="20"/>
                      <w:szCs w:val="20"/>
                    </w:rPr>
                    <w:t>. The cells that bound to the steel were fixed and stained with fluorescently labelled anti-CD34. Using fluorescence microscopy, it was evident that the cells were able to adhere and proliferate on the surface of the steel. These results indicate initiation of reendothelialization of the stent. Future studies will involve implantation of this novel device into an organism.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2213214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Amanda R. Aldous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Joshua Kritzer</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Tufts University, Avon, MA, United States. </w:t>
                  </w:r>
                  <w:r w:rsidRPr="0005639F">
                    <w:rPr>
                      <w:rFonts w:ascii="Times New Roman" w:eastAsia="Times New Roman" w:hAnsi="Times New Roman" w:cs="Times New Roman"/>
                      <w:sz w:val="20"/>
                      <w:szCs w:val="20"/>
                    </w:rPr>
                    <w:br/>
                    <w:t xml:space="preserve">2. Dept. of Chemistry, Tufts University, Medford,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9" w:anchor="2213214" w:history="1">
                    <w:r w:rsidRPr="0005639F">
                      <w:rPr>
                        <w:rFonts w:ascii="Times New Roman" w:eastAsia="Times New Roman" w:hAnsi="Times New Roman" w:cs="Times New Roman"/>
                        <w:color w:val="0000FF"/>
                        <w:sz w:val="20"/>
                        <w:szCs w:val="20"/>
                        <w:u w:val="single"/>
                      </w:rPr>
                      <w:t>Constrained peptides for metal binding and catalysis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As we strive for more efficient and higher yielding syntheses, asymmetric catalysis by metalloenzymes has become important in the fields of energy and pharmaceuticals. Metal-peptide mimics hold immense potential </w:t>
                  </w:r>
                  <w:r w:rsidRPr="0005639F">
                    <w:rPr>
                      <w:rFonts w:ascii="Times New Roman" w:eastAsia="Times New Roman" w:hAnsi="Times New Roman" w:cs="Times New Roman"/>
                      <w:sz w:val="20"/>
                      <w:szCs w:val="20"/>
                    </w:rPr>
                    <w:lastRenderedPageBreak/>
                    <w:t>for examining metalloenzyme mechanisms, as well as improving yield and selectivity while using less expensive catalysts. Our lab explores how constraining small peptide sequences can tune metal binding and activity. Cyclization via cysteine bisalkylation and incorporation of metal binding moieties are applied to discover new metal-peptide complexes. Our goal is to characterize and apply these complexes to asymmetric reactions including cyclopropanation and epoxidation, taking advantage of the chirality and modularity of peptides to control reactivity and enantioselectivity.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r w:rsidRPr="0005639F">
                    <w:rPr>
                      <w:rFonts w:ascii="Times New Roman" w:eastAsia="Times New Roman" w:hAnsi="Times New Roman" w:cs="Times New Roman"/>
                      <w:sz w:val="20"/>
                      <w:szCs w:val="20"/>
                    </w:rPr>
                    <w:t>I am really excited for this conference! I would prefer to present my work via an oral talk. I have listed my symposium as Biochemsitry-oral:. I would prefer the biochemistry symposium, but am also able to speak to the inorganic symposium (as this is a bio-inorganic project) if there is no longer room in the biochemistry section. Thank you in advance!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0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2232061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Alexander S. Bayden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Vasily A. Yakovlev</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Ross B. Mikkelsen</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Glen E. Kellogg</w:t>
                  </w:r>
                  <w:r w:rsidRPr="0005639F">
                    <w:rPr>
                      <w:rFonts w:ascii="Times New Roman" w:eastAsia="Times New Roman" w:hAnsi="Times New Roman" w:cs="Times New Roman"/>
                      <w:sz w:val="20"/>
                      <w:szCs w:val="20"/>
                      <w:vertAlign w:val="superscript"/>
                    </w:rPr>
                    <w:t>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CMDBioscience, Inc., Hamden, CT, United States. </w:t>
                  </w:r>
                  <w:r w:rsidRPr="0005639F">
                    <w:rPr>
                      <w:rFonts w:ascii="Times New Roman" w:eastAsia="Times New Roman" w:hAnsi="Times New Roman" w:cs="Times New Roman"/>
                      <w:sz w:val="20"/>
                      <w:szCs w:val="20"/>
                    </w:rPr>
                    <w:br/>
                    <w:t xml:space="preserve">2. Division of Molecular Radiobiology, Department of Radiation Oncology, Virginia Commonwealth University, Richmond, VA, United States. </w:t>
                  </w:r>
                  <w:r w:rsidRPr="0005639F">
                    <w:rPr>
                      <w:rFonts w:ascii="Times New Roman" w:eastAsia="Times New Roman" w:hAnsi="Times New Roman" w:cs="Times New Roman"/>
                      <w:sz w:val="20"/>
                      <w:szCs w:val="20"/>
                    </w:rPr>
                    <w:br/>
                    <w:t xml:space="preserve">3. Department of Radiation Oncology, Virginia Commonwealth University, Richmond, VA, United States. </w:t>
                  </w:r>
                  <w:r w:rsidRPr="0005639F">
                    <w:rPr>
                      <w:rFonts w:ascii="Times New Roman" w:eastAsia="Times New Roman" w:hAnsi="Times New Roman" w:cs="Times New Roman"/>
                      <w:sz w:val="20"/>
                      <w:szCs w:val="20"/>
                    </w:rPr>
                    <w:br/>
                    <w:t xml:space="preserve">4. Department of Medicinal Chemistry and Institute for Structural Biology and Drug Discovery, Virginia Commanwealth University, Richmond, VA,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40" w:anchor="2232061" w:history="1">
                    <w:r w:rsidRPr="0005639F">
                      <w:rPr>
                        <w:rFonts w:ascii="Times New Roman" w:eastAsia="Times New Roman" w:hAnsi="Times New Roman" w:cs="Times New Roman"/>
                        <w:color w:val="0000FF"/>
                        <w:sz w:val="20"/>
                        <w:szCs w:val="20"/>
                        <w:u w:val="single"/>
                      </w:rPr>
                      <w:t>Factors influencing selective nitration of tyrosines in proteins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Nitration at tyrosine residues occurs both </w:t>
                  </w:r>
                  <w:r w:rsidRPr="0005639F">
                    <w:rPr>
                      <w:rFonts w:ascii="Times New Roman" w:eastAsia="Times New Roman" w:hAnsi="Times New Roman" w:cs="Times New Roman"/>
                      <w:i/>
                      <w:iCs/>
                      <w:sz w:val="20"/>
                      <w:szCs w:val="20"/>
                    </w:rPr>
                    <w:t>in vitro</w:t>
                  </w:r>
                  <w:r w:rsidRPr="0005639F">
                    <w:rPr>
                      <w:rFonts w:ascii="Times New Roman" w:eastAsia="Times New Roman" w:hAnsi="Times New Roman" w:cs="Times New Roman"/>
                      <w:sz w:val="20"/>
                      <w:szCs w:val="20"/>
                    </w:rPr>
                    <w:t xml:space="preserve"> and </w:t>
                  </w:r>
                  <w:r w:rsidRPr="0005639F">
                    <w:rPr>
                      <w:rFonts w:ascii="Times New Roman" w:eastAsia="Times New Roman" w:hAnsi="Times New Roman" w:cs="Times New Roman"/>
                      <w:i/>
                      <w:iCs/>
                      <w:sz w:val="20"/>
                      <w:szCs w:val="20"/>
                    </w:rPr>
                    <w:t>in vivo</w:t>
                  </w:r>
                  <w:r w:rsidRPr="0005639F">
                    <w:rPr>
                      <w:rFonts w:ascii="Times New Roman" w:eastAsia="Times New Roman" w:hAnsi="Times New Roman" w:cs="Times New Roman"/>
                      <w:sz w:val="20"/>
                      <w:szCs w:val="20"/>
                    </w:rPr>
                    <w:t>. Generally, one of the two tyrosine aromatic hydrogens that are ortho with respect to the hydroxyl group is replaced by a nitro group.</w:t>
                  </w:r>
                  <w:r w:rsidRPr="0005639F">
                    <w:rPr>
                      <w:rFonts w:ascii="Times New Roman" w:eastAsia="Times New Roman" w:hAnsi="Times New Roman" w:cs="Times New Roman"/>
                      <w:sz w:val="20"/>
                      <w:szCs w:val="20"/>
                    </w:rPr>
                    <w:br/>
                    <w:t xml:space="preserve">Tyrosine nitration has been detected under physiological conditions in most organ systems and in a number of cellular models. Accumulating data supports a strong link between protein tyrosine nitration and the activation of signaling pathways in a variety of cellular responses and pathological conditions. We have built predictive models for selectivity in both </w:t>
                  </w:r>
                  <w:r w:rsidRPr="0005639F">
                    <w:rPr>
                      <w:rFonts w:ascii="Times New Roman" w:eastAsia="Times New Roman" w:hAnsi="Times New Roman" w:cs="Times New Roman"/>
                      <w:i/>
                      <w:iCs/>
                      <w:sz w:val="20"/>
                      <w:szCs w:val="20"/>
                    </w:rPr>
                    <w:t>in vitro</w:t>
                  </w:r>
                  <w:r w:rsidRPr="0005639F">
                    <w:rPr>
                      <w:rFonts w:ascii="Times New Roman" w:eastAsia="Times New Roman" w:hAnsi="Times New Roman" w:cs="Times New Roman"/>
                      <w:sz w:val="20"/>
                      <w:szCs w:val="20"/>
                    </w:rPr>
                    <w:t xml:space="preserve"> and </w:t>
                  </w:r>
                  <w:r w:rsidRPr="0005639F">
                    <w:rPr>
                      <w:rFonts w:ascii="Times New Roman" w:eastAsia="Times New Roman" w:hAnsi="Times New Roman" w:cs="Times New Roman"/>
                      <w:i/>
                      <w:iCs/>
                      <w:sz w:val="20"/>
                      <w:szCs w:val="20"/>
                    </w:rPr>
                    <w:t xml:space="preserve">in vivo </w:t>
                  </w:r>
                  <w:r w:rsidRPr="0005639F">
                    <w:rPr>
                      <w:rFonts w:ascii="Times New Roman" w:eastAsia="Times New Roman" w:hAnsi="Times New Roman" w:cs="Times New Roman"/>
                      <w:sz w:val="20"/>
                      <w:szCs w:val="20"/>
                    </w:rPr>
                    <w:t>tyrosine nitration based on 3D structural features of 20 proteins for which high resolution X-ray crystallographic or NMR data are available and for which nitration of 35 total tyrosines has been experimentally shown under oxidative stress.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2261861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Jinglin Fu</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Department, Science Building 306A, Rutgers University-Camden, </w:t>
                  </w:r>
                  <w:r w:rsidRPr="0005639F">
                    <w:rPr>
                      <w:rFonts w:ascii="Times New Roman" w:eastAsia="Times New Roman" w:hAnsi="Times New Roman" w:cs="Times New Roman"/>
                      <w:sz w:val="20"/>
                      <w:szCs w:val="20"/>
                    </w:rPr>
                    <w:lastRenderedPageBreak/>
                    <w:t xml:space="preserve">Camden,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41" w:anchor="2261861" w:history="1">
                    <w:r w:rsidRPr="0005639F">
                      <w:rPr>
                        <w:rFonts w:ascii="Times New Roman" w:eastAsia="Times New Roman" w:hAnsi="Times New Roman" w:cs="Times New Roman"/>
                        <w:b/>
                        <w:bCs/>
                        <w:color w:val="0000FF"/>
                        <w:sz w:val="20"/>
                        <w:szCs w:val="20"/>
                        <w:u w:val="single"/>
                      </w:rPr>
                      <w:t>Biomimetic Catalytic Complexes Organized by DNA Nanoscaffolds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Living systems have evolved complex macromolecular nanostructure networks to mediate a range of cellular activities with high efficiency and specificity, including metabolic pathways, signaling transduction, gene expression and regulation. Many of these macromolecular systems are spatially organized with precisely controlled position and orientation of biomolecule components. If these systems can be mimicked and constructed artificially, they could be applied to the realization of smart nanobioreactors and devices that have utility in the production of high-value chemicals, the conversion of a variety of energy forms, and the development of new bio-diagnostics. Recently, DNA has emerged as promising molecular scaffolds to organize macromolecule structures on the nanoscale with controlled geometries and nanomechanical capabilities. In </w:t>
                  </w:r>
                  <w:r w:rsidRPr="0005639F">
                    <w:rPr>
                      <w:rFonts w:ascii="Times New Roman" w:eastAsia="Times New Roman" w:hAnsi="Times New Roman" w:cs="Times New Roman"/>
                      <w:b/>
                      <w:bCs/>
                      <w:sz w:val="20"/>
                      <w:szCs w:val="20"/>
                    </w:rPr>
                    <w:t>Fig.1A</w:t>
                  </w:r>
                  <w:r w:rsidRPr="0005639F">
                    <w:rPr>
                      <w:rFonts w:ascii="Times New Roman" w:eastAsia="Times New Roman" w:hAnsi="Times New Roman" w:cs="Times New Roman"/>
                      <w:sz w:val="20"/>
                      <w:szCs w:val="20"/>
                    </w:rPr>
                    <w:t xml:space="preserve">, GOx and HRP are organized with inter-enzyme distances ranging from 10 to 65 nm, confirmed by AFM imaging. The measured reaction rates decreased nonlinearly as the inter-enzyme distance increased. The result directly demonstrates the ability of DNA nanostructures to arrange multiple proteins with control over their number, relative distance, and spatial pattern, mediating the intermediate transport and activities. In </w:t>
                  </w:r>
                  <w:r w:rsidRPr="0005639F">
                    <w:rPr>
                      <w:rFonts w:ascii="Times New Roman" w:eastAsia="Times New Roman" w:hAnsi="Times New Roman" w:cs="Times New Roman"/>
                      <w:b/>
                      <w:bCs/>
                      <w:sz w:val="20"/>
                      <w:szCs w:val="20"/>
                    </w:rPr>
                    <w:t>Fig.5B</w:t>
                  </w:r>
                  <w:r w:rsidRPr="0005639F">
                    <w:rPr>
                      <w:rFonts w:ascii="Times New Roman" w:eastAsia="Times New Roman" w:hAnsi="Times New Roman" w:cs="Times New Roman"/>
                      <w:sz w:val="20"/>
                      <w:szCs w:val="20"/>
                    </w:rPr>
                    <w:t xml:space="preserve">, a tweezer-like DNA nanodevice is used to regulate the activity of an enzyme/cofactor pair. G6PDH and NAD cofactor were attached to different arms of the DNA tweezers. The actuation of enzymatic function was achieved by switching the tweezers between opened and closed states. </w:t>
                  </w:r>
                  <w:r w:rsidRPr="0005639F">
                    <w:rPr>
                      <w:rFonts w:ascii="Times New Roman" w:eastAsia="Times New Roman" w:hAnsi="Times New Roman" w:cs="Times New Roman"/>
                      <w:b/>
                      <w:bCs/>
                      <w:sz w:val="20"/>
                      <w:szCs w:val="20"/>
                    </w:rPr>
                    <w:t xml:space="preserve">Fig.5C </w:t>
                  </w:r>
                  <w:r w:rsidRPr="0005639F">
                    <w:rPr>
                      <w:rFonts w:ascii="Times New Roman" w:eastAsia="Times New Roman" w:hAnsi="Times New Roman" w:cs="Times New Roman"/>
                      <w:sz w:val="20"/>
                      <w:szCs w:val="20"/>
                    </w:rPr>
                    <w:t>shows the assembly of multienzyme complexes on DNA nanoscaffolds capable of substrate channeling with an artificial NAD swinging arm. The activity of the G6pDH-MDH complex was enhanced more than 90-fold with channeled NAD swinging arms. Further adjusting the relative ratios of enzymes can yield an additional ~ 2 – 3-fold increase in activity.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2265958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Namrata V. Patil</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Anil N. Netravali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 Ithaca, NY, United States. </w:t>
                  </w:r>
                  <w:r w:rsidRPr="0005639F">
                    <w:rPr>
                      <w:rFonts w:ascii="Times New Roman" w:eastAsia="Times New Roman" w:hAnsi="Times New Roman" w:cs="Times New Roman"/>
                      <w:sz w:val="20"/>
                      <w:szCs w:val="20"/>
                    </w:rPr>
                    <w:br/>
                    <w:t xml:space="preserve">2. Fiber Science,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42" w:anchor="2265958" w:history="1">
                    <w:r w:rsidRPr="0005639F">
                      <w:rPr>
                        <w:rFonts w:ascii="Times New Roman" w:eastAsia="Times New Roman" w:hAnsi="Times New Roman" w:cs="Times New Roman"/>
                        <w:b/>
                        <w:bCs/>
                        <w:color w:val="0000FF"/>
                        <w:sz w:val="20"/>
                        <w:szCs w:val="20"/>
                        <w:u w:val="single"/>
                      </w:rPr>
                      <w:t>Non-edible starch based resin for application in composites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This research focuses on developing non-edible starch based resin to replace the currently used petroleum based as well as edible starch (Corn, Potato, etc.) and protein (Soy) based resins for composite applications. Purified starch was derived from mango seeds, a waste source freely available in south Asia. Mango seed kernels which are discarded after oil extraction were used to extract starch to be used as a resin material. Micro fibrillated cellulose (MFC) obtained from kraft pulp was used as a reinforcing material in order to take advantage of the chemical similarity between the starch and the cellulose resulting in good hydrogen bonding. Uniform dispersion of the MFC in water was obtained by homogenization before adding predetermined amount of starch. Further, the starch was crosslinked using an environmentally friendly and water soluble crosslinker and catalyst. Approximately 200 micrometer thick sheets were prepared by solution casting and hot pressing (crosslinking) the reinforced resin. The characterization of these resin sheets for their thermal and mechanical properties showed their properties to be comparable to the edible starch based films and synthetic resins. Thus, these sheets obtained from bio-waste can be used to replace currently available plastic sheets derived from the petroleum sources.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2266660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Han Jia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Edgardo T. Farinas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Environmental Sci, NJIT, Newark,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43" w:anchor="2266660" w:history="1">
                    <w:r w:rsidRPr="0005639F">
                      <w:rPr>
                        <w:rFonts w:ascii="Times New Roman" w:eastAsia="Times New Roman" w:hAnsi="Times New Roman" w:cs="Times New Roman"/>
                        <w:color w:val="0000FF"/>
                        <w:sz w:val="20"/>
                        <w:szCs w:val="20"/>
                        <w:u w:val="single"/>
                      </w:rPr>
                      <w:t>Spore display as a tool for Protein Engineering and Optimization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Protein libraries were displayed in the spore coat of </w:t>
                  </w:r>
                  <w:r w:rsidRPr="0005639F">
                    <w:rPr>
                      <w:rFonts w:ascii="Times New Roman" w:eastAsia="Times New Roman" w:hAnsi="Times New Roman" w:cs="Times New Roman"/>
                      <w:i/>
                      <w:iCs/>
                      <w:sz w:val="20"/>
                      <w:szCs w:val="20"/>
                    </w:rPr>
                    <w:t>Bacillus subtilis</w:t>
                  </w:r>
                  <w:r w:rsidRPr="0005639F">
                    <w:rPr>
                      <w:rFonts w:ascii="Times New Roman" w:eastAsia="Times New Roman" w:hAnsi="Times New Roman" w:cs="Times New Roman"/>
                      <w:sz w:val="20"/>
                      <w:szCs w:val="20"/>
                    </w:rPr>
                    <w:t xml:space="preserve">, and this method was demonstrated as a tool for directed evolution under extreme conditions. </w:t>
                  </w:r>
                  <w:r w:rsidRPr="0005639F">
                    <w:rPr>
                      <w:rFonts w:ascii="Times New Roman" w:eastAsia="Times New Roman" w:hAnsi="Times New Roman" w:cs="Times New Roman"/>
                      <w:i/>
                      <w:iCs/>
                      <w:sz w:val="20"/>
                      <w:szCs w:val="20"/>
                    </w:rPr>
                    <w:t>Escherichia coli</w:t>
                  </w:r>
                  <w:r w:rsidRPr="0005639F">
                    <w:rPr>
                      <w:rFonts w:ascii="Times New Roman" w:eastAsia="Times New Roman" w:hAnsi="Times New Roman" w:cs="Times New Roman"/>
                      <w:sz w:val="20"/>
                      <w:szCs w:val="20"/>
                    </w:rPr>
                    <w:t xml:space="preserve">, yeast, and phage display suffer from protein folding and viability issues. On the other hand, spores avoid folding concerns by the natural sporulation process, and they remain viable under harsh chemical and physical environments. Previously, we demonstrated that spore display can be used to improve substrate specificity. Now we take advantage of the inert properties of the spores and evolve CotA under conditions of high organic solvent concentrations.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xml:space="preserve"> or yeast display methods are not suitable in these conditions: cell lysis would occur and the genotype/phenotype connection would be lost. CotA is a laccase, which is copper-containing oxidase enzyme. A random library of CotA was expressed on the spore coat and approximately 3000 clones were screened at 60% dimethyl sulfoxide (DMSO). A Thr480Ala variant (Thr480Ala-CotA) was identified that was 2.38 folds more active than the wild-type CotA. In addition, the Thr480Ala-CotA was more active with varying concentration of DMSO ranging from 0-70%. The mutant was also found to be more active compare to wild-type CotA in different concentrations methanol, ethanol and acetonitrile with either 2,2'-azino-bis(3-ethylbenzothiazoline-6-sulphonic acid)(ABTS) or syringaldazine (SGZ) as substrate. Recent results will also be presented for increasing the half-life in acidic pH.</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2286477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Vaibhavi R. Vaidya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Anil N. Netravali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 Ithaca, NY, United States. </w:t>
                  </w:r>
                  <w:r w:rsidRPr="0005639F">
                    <w:rPr>
                      <w:rFonts w:ascii="Times New Roman" w:eastAsia="Times New Roman" w:hAnsi="Times New Roman" w:cs="Times New Roman"/>
                      <w:sz w:val="20"/>
                      <w:szCs w:val="20"/>
                    </w:rPr>
                    <w:br/>
                    <w:t xml:space="preserve">2. Fiber Science, Cornell University ,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44" w:anchor="2286477" w:history="1">
                    <w:r w:rsidRPr="0005639F">
                      <w:rPr>
                        <w:rFonts w:ascii="Times New Roman" w:eastAsia="Times New Roman" w:hAnsi="Times New Roman" w:cs="Times New Roman"/>
                        <w:b/>
                        <w:bCs/>
                        <w:color w:val="0000FF"/>
                        <w:sz w:val="20"/>
                        <w:szCs w:val="20"/>
                        <w:u w:val="single"/>
                      </w:rPr>
                      <w:t xml:space="preserve">Starch based ‘green’ resin derived from raw plantain fruit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Significant research is being conducted to derive environment-friendly, sustainable and fully biodegradable polymers and composites to avoid environmental pollution created by the conventional non-degradable plastics that end up in landfills. Starch is a yearly renewable plant-based resource that is most abundantly available around the world. Increasing number of scientists have modified starches from potato, corn, rice, etc., to create resins that can replace the more common petroleum based ones.</w:t>
                  </w:r>
                  <w:r w:rsidRPr="0005639F">
                    <w:rPr>
                      <w:rFonts w:ascii="Times New Roman" w:eastAsia="Times New Roman" w:hAnsi="Times New Roman" w:cs="Times New Roman"/>
                      <w:sz w:val="20"/>
                      <w:szCs w:val="20"/>
                    </w:rPr>
                    <w:br/>
                    <w:t>In the present research, starch was isolated from raw plantain pulp using alkaline and non-alkaline methods. A comparative study of the processes used and resulting starch contents was carried out. Starch content of above 80% was successfully isolated from the plantain fruit by alkaline steeping method using Sodium bisulfite (NaHSO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rPr>
                    <w:lastRenderedPageBreak/>
                    <w:t>The physical and mechanical properties of the obtained starch were characterized and compared with the conventional starches. An environment-friendly cross linker 1,2,3,4-butane tetracarboxylic acid (BTCA) along with a catalyst Sodium hypophosphite-monohydrate, was used to crosslink the plantain starch into a thermoset resin. Further, waste plantain peels were harnessed to extract micro-cellulose fibrils and used as the reinforcing element to enhance the modulus (stiffness) of the resin and make it truly ‘green’.</w:t>
                  </w:r>
                  <w:r w:rsidRPr="0005639F">
                    <w:rPr>
                      <w:rFonts w:ascii="Times New Roman" w:eastAsia="Times New Roman" w:hAnsi="Times New Roman" w:cs="Times New Roman"/>
                      <w:sz w:val="20"/>
                      <w:szCs w:val="20"/>
                    </w:rPr>
                    <w:br/>
                    <w:t>In summary, a convenient and easy to scale up process was developed to obtain plantain-based resin using its pulp and the waste peels. The mechanical and physical properties of this starch suggest that it can be used in place of conventional starch based resins. In addition, the developed process allows using large quantities of raw cull plantains and potentially eliminating the waste problem created by excess production as well as damage caused during their harvest and transportation.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2290249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Evgenia Barannikova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Mark A. Allen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University of Maryland Baltimore County, Baltimore,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45" w:anchor="2290249" w:history="1">
                    <w:r w:rsidRPr="0005639F">
                      <w:rPr>
                        <w:rFonts w:ascii="Times New Roman" w:eastAsia="Times New Roman" w:hAnsi="Times New Roman" w:cs="Times New Roman"/>
                        <w:color w:val="0000FF"/>
                        <w:sz w:val="20"/>
                        <w:szCs w:val="20"/>
                        <w:u w:val="single"/>
                      </w:rPr>
                      <w:t>Peptide-Templated Assembly of Cathode Materials for Li-ion Battery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Li-ion batteries present a promising alternative among existing electrical energy storage systems to power future electric and hybrid vehicles, as well as to provide reliable grid-scale energy storage. Recent improvements in battery engineering and the synthesis of electroactive materials remain limited in preparing battery electrodes that are long-lasting and safe while continuing to provide high power and energy density. My research project aims to develop a peptide-templated approach that can be utilized to combine heterofunctional nanostructured materials with synergistic properties during the cathode assembly. This presentation will focus on the engineering of nanoscale bridges between electroactive and conductive material, which is done using solid-binding peptides (SBP) that have specific binding affinity for the materials of interest. Recent progress involves isolation of SBP for one of the promising high-voltage cathode materials LiNi</w:t>
                  </w:r>
                  <w:r w:rsidRPr="0005639F">
                    <w:rPr>
                      <w:rFonts w:ascii="Times New Roman" w:eastAsia="Times New Roman" w:hAnsi="Times New Roman" w:cs="Times New Roman"/>
                      <w:sz w:val="20"/>
                      <w:szCs w:val="20"/>
                      <w:vertAlign w:val="subscript"/>
                    </w:rPr>
                    <w:t>0.5</w:t>
                  </w:r>
                  <w:r w:rsidRPr="0005639F">
                    <w:rPr>
                      <w:rFonts w:ascii="Times New Roman" w:eastAsia="Times New Roman" w:hAnsi="Times New Roman" w:cs="Times New Roman"/>
                      <w:sz w:val="20"/>
                      <w:szCs w:val="20"/>
                    </w:rPr>
                    <w:t>Mn</w:t>
                  </w:r>
                  <w:r w:rsidRPr="0005639F">
                    <w:rPr>
                      <w:rFonts w:ascii="Times New Roman" w:eastAsia="Times New Roman" w:hAnsi="Times New Roman" w:cs="Times New Roman"/>
                      <w:sz w:val="20"/>
                      <w:szCs w:val="20"/>
                      <w:vertAlign w:val="subscript"/>
                    </w:rPr>
                    <w:t>1.5</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(LNMO), and the design of multifunctional peptide to combine LNMO and multiwalled carbon nanotubes as conductive agents. The preliminary data indicates that biotemplated electrodes demonstrate decrease in charge transfer resistance, as well as higher specific capacity during the initial cycles. Ultimately, fabrication of nanostructured electrodes through biotemplating with multifunctional peptides will impart binding specificity for the target materials, and potentially offer a stable system with higher capacity and improved cyclability at high discharge rates.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If Bio-based materials section is full, the theme is also appropriate for section Materials for Energy.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2290325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Anushka E. Vithanage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Gramlich</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University of Maine, Old Town, ME, United States. </w:t>
                  </w:r>
                  <w:r w:rsidRPr="0005639F">
                    <w:rPr>
                      <w:rFonts w:ascii="Times New Roman" w:eastAsia="Times New Roman" w:hAnsi="Times New Roman" w:cs="Times New Roman"/>
                      <w:sz w:val="20"/>
                      <w:szCs w:val="20"/>
                    </w:rPr>
                    <w:br/>
                    <w:t xml:space="preserve">2. Department of Chemistry, University of Maine, Orono, ME,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46" w:anchor="2290325" w:history="1">
                    <w:r w:rsidRPr="0005639F">
                      <w:rPr>
                        <w:rFonts w:ascii="Times New Roman" w:eastAsia="Times New Roman" w:hAnsi="Times New Roman" w:cs="Times New Roman"/>
                        <w:b/>
                        <w:bCs/>
                        <w:color w:val="0000FF"/>
                        <w:sz w:val="20"/>
                        <w:szCs w:val="20"/>
                        <w:u w:val="single"/>
                      </w:rPr>
                      <w:t>Renewably sourced phenolic resins from lignin bio oil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polymer industry consumes a variety of petrochemicals in abundance. Petroleum depletion and cost fluctuations have promoted extensive research on renewably sourced polymers, which require renewable monomer sources. In polymers with aromatic monomers such as phenolic resins, difficulty exists to obtain a uniform renewable monomer mixture that is inexpensive and available in large quantities without interfering with the food supply. Lignin is a potential aromatic monomer source for phenolic resin synthesis that alleviates these issues. Lignin, being the most abundant aromatic biopolymer on earth, is an appealing source for phenolic compounds. It is inexpensive and available as a waste product after utilization of biomass for paper and pulp industry. In this work, bio oil from formate assisted fast pyrolysis (FAsP) of lignin was used as a phenolic monomer source. FAsP is an improvement over traditional pyrolysis as it promotes in-situ deoxyhydrogenation that results in alkylated phenol compounds instead of guaiacol compounds. Nuclear magnetic resonance (NMR) spectroscopy and Gas Chromatography – Mass Spectroscopy (GCMS) analysis confirmed that the bio oil comprised phenols and several alkyl phenols as well as higher molecular weight compounds. A solvent extraction method was investigated that concentrated and isolated the substituted phenolic compounds into an extract fraction. Phenolic resins were synthesized using phenol (PFR), FAsP bio oil (OilR) and an extract mimic (MimicR) that was prepared to resemble the extract composition. Phenolic compound reactive site conversions measured by NMR spectroscopy were 60% for PFR and 90% for MimicR. Glass transition temperatures for all resins measured by differential scanning calorimetry analysis were within 79-81 °C. Thermogravimetric analysis resulted in similar decomposition behaviors for the PFR and MimicR resins. These results suggest that phenolic resins from a renewably sourced FAsP bio oil extract have properties comparable to a phenol based resin.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Thank You!</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2292074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Richard B. Chapas</w:t>
                  </w:r>
                  <w:r w:rsidRPr="0005639F">
                    <w:rPr>
                      <w:rFonts w:ascii="Times New Roman" w:eastAsia="Times New Roman" w:hAnsi="Times New Roman" w:cs="Times New Roman"/>
                      <w:sz w:val="20"/>
                      <w:szCs w:val="20"/>
                      <w:vertAlign w:val="superscript"/>
                    </w:rPr>
                    <w:t>1, 2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Chapas &amp; Associates, Swedesboro, NJ, United States. </w:t>
                  </w:r>
                  <w:r w:rsidRPr="0005639F">
                    <w:rPr>
                      <w:rFonts w:ascii="Times New Roman" w:eastAsia="Times New Roman" w:hAnsi="Times New Roman" w:cs="Times New Roman"/>
                      <w:sz w:val="20"/>
                      <w:szCs w:val="20"/>
                    </w:rPr>
                    <w:br/>
                    <w:t xml:space="preserve">2. Lerner Business School, University of Delaware, Newark, DE,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47" w:anchor="2292074" w:history="1">
                    <w:r w:rsidRPr="0005639F">
                      <w:rPr>
                        <w:rFonts w:ascii="Times New Roman" w:eastAsia="Times New Roman" w:hAnsi="Times New Roman" w:cs="Times New Roman"/>
                        <w:b/>
                        <w:bCs/>
                        <w:color w:val="0000FF"/>
                        <w:sz w:val="20"/>
                        <w:szCs w:val="20"/>
                        <w:u w:val="single"/>
                      </w:rPr>
                      <w:t>Biobased Materials: Challenges for Commercialization</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Biobased materials cover a wide range and will be reviewed by source and process, providing a </w:t>
                  </w:r>
                  <w:r w:rsidRPr="0005639F">
                    <w:rPr>
                      <w:rFonts w:ascii="Times New Roman" w:eastAsia="Times New Roman" w:hAnsi="Times New Roman" w:cs="Times New Roman"/>
                      <w:i/>
                      <w:iCs/>
                      <w:sz w:val="20"/>
                      <w:szCs w:val="20"/>
                    </w:rPr>
                    <w:t>working definition. The importance of these materials will be discussed along with the</w:t>
                  </w:r>
                  <w:r w:rsidRPr="0005639F">
                    <w:rPr>
                      <w:rFonts w:ascii="Times New Roman" w:eastAsia="Times New Roman" w:hAnsi="Times New Roman" w:cs="Times New Roman"/>
                      <w:sz w:val="20"/>
                      <w:szCs w:val="20"/>
                    </w:rPr>
                    <w:t xml:space="preserve"> innovators and producers. A discussion of the challenges in commercialization will provide examples of specific projects in the early stages. These challenges will lead to a path forward which will provide areas for on-going efforts and support for the work. The importance and relevance of SBIRs, Green Chemistry Institute, the National Labs, and NGOs will be covered.</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Mark A. Allen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Evgenia Barannikova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Scott J. Riley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Alexander Winton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UMBC, Brooklyn, MD, United States. </w:t>
                  </w:r>
                  <w:r w:rsidRPr="0005639F">
                    <w:rPr>
                      <w:rFonts w:ascii="Times New Roman" w:eastAsia="Times New Roman" w:hAnsi="Times New Roman" w:cs="Times New Roman"/>
                      <w:sz w:val="20"/>
                      <w:szCs w:val="20"/>
                    </w:rPr>
                    <w:br/>
                    <w:t xml:space="preserve">2. Chemistry and Biochemistry, University of Maryland Baltimore County, Baltimore,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48" w:anchor="2292292" w:history="1">
                    <w:r w:rsidRPr="0005639F">
                      <w:rPr>
                        <w:rFonts w:ascii="Times New Roman" w:eastAsia="Times New Roman" w:hAnsi="Times New Roman" w:cs="Times New Roman"/>
                        <w:color w:val="0000FF"/>
                        <w:sz w:val="20"/>
                        <w:szCs w:val="20"/>
                        <w:u w:val="single"/>
                      </w:rPr>
                      <w:t>Naturally Synthetic: Biology Interfacing Technology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Nature has a diverse toolkit that can be utilized to address a broad array of important chemistry related problems. These tools include DNA, lipids, polysaccharides, and proteins, each of which have been used for direct applications from sensors to electronics. Proteins represent nature’s most diverse polymer with a range of functionality determined by 20 naturally encoded amino acids. The structure and chemical functionality of each amino acid determine the properties of the polypeptide that they compose. In this presentation I will discuss how these chemical functionalities can be exploited to improve technologically relevant materials with an emphasis on bio-templated lithium ion batteries.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The focus of my group is to identify functional polypeptides for the purpose of improving technologically relevant materials. Our lab uses a technique called phage display in order to identify solid binding polypeptides that are specific for binding to and the mineralization of electroactive materials and use these materials to prepare new lithium ion batteries. Once peptides are identified, they will be synthesized and combined with other peptide chains that have already been isolated that bind to carbon nanotubes (CNTs) to make multifunctional polypeptides. My research is multidisciplinary and involves the integration of biology, biochemistry, synthesis and nanomaterials science in order to address significant problems.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If not accepted for an oral presentation for Biomaterials, I would appreciate being considered for the session on materials for energy. Thank you;</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2292415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 Based Materials and Process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Christof Drechsel-Grau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Mark E. Tuckerman</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Thomas H. Haines</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New York University, New York, NY, United States. </w:t>
                  </w:r>
                  <w:r w:rsidRPr="0005639F">
                    <w:rPr>
                      <w:rFonts w:ascii="Times New Roman" w:eastAsia="Times New Roman" w:hAnsi="Times New Roman" w:cs="Times New Roman"/>
                      <w:sz w:val="20"/>
                      <w:szCs w:val="20"/>
                    </w:rPr>
                    <w:br/>
                    <w:t xml:space="preserve">2. Courant Institute of Mathematical Sciences, New York University, New York, NY, United States. </w:t>
                  </w:r>
                  <w:r w:rsidRPr="0005639F">
                    <w:rPr>
                      <w:rFonts w:ascii="Times New Roman" w:eastAsia="Times New Roman" w:hAnsi="Times New Roman" w:cs="Times New Roman"/>
                      <w:sz w:val="20"/>
                      <w:szCs w:val="20"/>
                    </w:rPr>
                    <w:br/>
                    <w:t xml:space="preserve">3. Rockefeller University,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49" w:anchor="2292415" w:history="1">
                    <w:r w:rsidRPr="0005639F">
                      <w:rPr>
                        <w:rFonts w:ascii="Times New Roman" w:eastAsia="Times New Roman" w:hAnsi="Times New Roman" w:cs="Times New Roman"/>
                        <w:color w:val="0000FF"/>
                        <w:sz w:val="20"/>
                        <w:szCs w:val="20"/>
                        <w:u w:val="single"/>
                      </w:rPr>
                      <w:t>Atomistic structure of solvated oleic-acid bilayer from computer simulations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Lipid bilayers enable life. They give cell membranes their structure,</w:t>
                  </w:r>
                  <w:r w:rsidRPr="0005639F">
                    <w:rPr>
                      <w:rFonts w:ascii="Times New Roman" w:eastAsia="Times New Roman" w:hAnsi="Times New Roman" w:cs="Times New Roman"/>
                      <w:sz w:val="20"/>
                      <w:szCs w:val="20"/>
                    </w:rPr>
                    <w:br/>
                    <w:t>exchange nutrients and oxygen across membranes, and maintain</w:t>
                  </w:r>
                  <w:r w:rsidRPr="0005639F">
                    <w:rPr>
                      <w:rFonts w:ascii="Times New Roman" w:eastAsia="Times New Roman" w:hAnsi="Times New Roman" w:cs="Times New Roman"/>
                      <w:sz w:val="20"/>
                      <w:szCs w:val="20"/>
                    </w:rPr>
                    <w:br/>
                    <w:t>the proton gradient used to synthesize ATP as the cell's chemical-energy</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lastRenderedPageBreak/>
                    <w:t>reservoir.</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Most natural lipid bilayers consist of amphiphilic molecules with</w:t>
                  </w:r>
                  <w:r w:rsidRPr="0005639F">
                    <w:rPr>
                      <w:rFonts w:ascii="Times New Roman" w:eastAsia="Times New Roman" w:hAnsi="Times New Roman" w:cs="Times New Roman"/>
                      <w:sz w:val="20"/>
                      <w:szCs w:val="20"/>
                    </w:rPr>
                    <w:br/>
                    <w:t>anionic headgroups and hydrocarbon tails, but the membranes of some freshwater</w:t>
                  </w:r>
                  <w:r w:rsidRPr="0005639F">
                    <w:rPr>
                      <w:rFonts w:ascii="Times New Roman" w:eastAsia="Times New Roman" w:hAnsi="Times New Roman" w:cs="Times New Roman"/>
                      <w:sz w:val="20"/>
                      <w:szCs w:val="20"/>
                    </w:rPr>
                    <w:br/>
                    <w:t>algae consist of anionic detergents.</w:t>
                  </w:r>
                  <w:r w:rsidRPr="0005639F">
                    <w:rPr>
                      <w:rFonts w:ascii="Times New Roman" w:eastAsia="Times New Roman" w:hAnsi="Times New Roman" w:cs="Times New Roman"/>
                      <w:sz w:val="20"/>
                      <w:szCs w:val="20"/>
                    </w:rPr>
                    <w:br/>
                    <w:t>Because detergents typically dissolve membranes, the stability of these</w:t>
                  </w:r>
                  <w:r w:rsidRPr="0005639F">
                    <w:rPr>
                      <w:rFonts w:ascii="Times New Roman" w:eastAsia="Times New Roman" w:hAnsi="Times New Roman" w:cs="Times New Roman"/>
                      <w:sz w:val="20"/>
                      <w:szCs w:val="20"/>
                    </w:rPr>
                    <w:br/>
                    <w:t>bilayers has remained unclear.</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To shed light on this puzzle, we use computer simulations of an</w:t>
                  </w:r>
                  <w:r w:rsidRPr="0005639F">
                    <w:rPr>
                      <w:rFonts w:ascii="Times New Roman" w:eastAsia="Times New Roman" w:hAnsi="Times New Roman" w:cs="Times New Roman"/>
                      <w:sz w:val="20"/>
                      <w:szCs w:val="20"/>
                    </w:rPr>
                    <w:br/>
                    <w:t>oleic-acid bilayer solvated by water.</w:t>
                  </w:r>
                  <w:r w:rsidRPr="0005639F">
                    <w:rPr>
                      <w:rFonts w:ascii="Times New Roman" w:eastAsia="Times New Roman" w:hAnsi="Times New Roman" w:cs="Times New Roman"/>
                      <w:sz w:val="20"/>
                      <w:szCs w:val="20"/>
                    </w:rPr>
                    <w:br/>
                    <w:t>Resolving the atomic structure of this model bilayer as a function of</w:t>
                  </w:r>
                  <w:r w:rsidRPr="0005639F">
                    <w:rPr>
                      <w:rFonts w:ascii="Times New Roman" w:eastAsia="Times New Roman" w:hAnsi="Times New Roman" w:cs="Times New Roman"/>
                      <w:sz w:val="20"/>
                      <w:szCs w:val="20"/>
                    </w:rPr>
                    <w:br/>
                    <w:t>the fatty acid's protonation state will reveal the relative contribution</w:t>
                  </w:r>
                  <w:r w:rsidRPr="0005639F">
                    <w:rPr>
                      <w:rFonts w:ascii="Times New Roman" w:eastAsia="Times New Roman" w:hAnsi="Times New Roman" w:cs="Times New Roman"/>
                      <w:sz w:val="20"/>
                      <w:szCs w:val="20"/>
                    </w:rPr>
                    <w:br/>
                    <w:t>of the solvent, the proton, the oleate anion, and the undissociated</w:t>
                  </w:r>
                  <w:r w:rsidRPr="0005639F">
                    <w:rPr>
                      <w:rFonts w:ascii="Times New Roman" w:eastAsia="Times New Roman" w:hAnsi="Times New Roman" w:cs="Times New Roman"/>
                      <w:sz w:val="20"/>
                      <w:szCs w:val="20"/>
                    </w:rPr>
                    <w:br/>
                    <w:t>oleic acid to the molecular structure.</w:t>
                  </w:r>
                  <w:r w:rsidRPr="0005639F">
                    <w:rPr>
                      <w:rFonts w:ascii="Times New Roman" w:eastAsia="Times New Roman" w:hAnsi="Times New Roman" w:cs="Times New Roman"/>
                      <w:sz w:val="20"/>
                      <w:szCs w:val="20"/>
                    </w:rPr>
                    <w:br/>
                    <w:t>This atomistic insight should not only explain the structure of</w:t>
                  </w:r>
                  <w:r w:rsidRPr="0005639F">
                    <w:rPr>
                      <w:rFonts w:ascii="Times New Roman" w:eastAsia="Times New Roman" w:hAnsi="Times New Roman" w:cs="Times New Roman"/>
                      <w:sz w:val="20"/>
                      <w:szCs w:val="20"/>
                    </w:rPr>
                    <w:br/>
                    <w:t>oleic-acid bilayers but also improve our</w:t>
                  </w:r>
                  <w:r w:rsidRPr="0005639F">
                    <w:rPr>
                      <w:rFonts w:ascii="Times New Roman" w:eastAsia="Times New Roman" w:hAnsi="Times New Roman" w:cs="Times New Roman"/>
                      <w:sz w:val="20"/>
                      <w:szCs w:val="20"/>
                    </w:rPr>
                    <w:br/>
                    <w:t>understanding of bilayer stability in general.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1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2211365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Bio-based Materials and Processes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Garegin Papoian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David Winogradoff</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Ignacia Echeverria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University of Maryland at College Park, College Park,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0" w:anchor="2211365" w:history="1">
                    <w:r w:rsidRPr="0005639F">
                      <w:rPr>
                        <w:rFonts w:ascii="Times New Roman" w:eastAsia="Times New Roman" w:hAnsi="Times New Roman" w:cs="Times New Roman"/>
                        <w:color w:val="0000FF"/>
                        <w:sz w:val="20"/>
                        <w:szCs w:val="20"/>
                        <w:u w:val="single"/>
                      </w:rPr>
                      <w:t>The acetylation landscape of the H4 Histone Tail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Histones tails, the intrinsically disordered terminal regions of histone proteins, are key modulators of the structure and dynamics of chromatin, and consequently, are central to many template directed processes including DNA replication, repair and transcription. Acetylation of histone tails is a major post-translational modification (PTM) involved in regulating the structure of chromatin, yet it remains unclear how acetylation modifies the disordered state of histones tails to, in turn, affect their function. In this work, we investigated the consequences of gradually increasing the acetylation level of the H4 histone tail by characterizing the conformational ensembles of un-acetylated, mono-, di-, tri-, and tetra-acetylated H4 histone tails. We found that progressive acetylation has a cumulative effect on the H4 tail, however, specific effects are also found for the biologically important K16 mono-acetylated H4 histone tail. We have determined molecular mechanisms behind both cumulative and specific effects of various acetylation patterns. In addition, we explore the mechanisms by which different acetylation patterns may result in specific recognition of the H4 histone tails by protein or DNA binding partners.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2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2228555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Bio-based Materials and Processes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Kara Bren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 Dept, Univ of Rochester,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1" w:anchor="2228555" w:history="1">
                    <w:r w:rsidRPr="0005639F">
                      <w:rPr>
                        <w:rFonts w:ascii="Times New Roman" w:eastAsia="Times New Roman" w:hAnsi="Times New Roman" w:cs="Times New Roman"/>
                        <w:color w:val="0000FF"/>
                        <w:sz w:val="20"/>
                        <w:szCs w:val="20"/>
                        <w:u w:val="single"/>
                      </w:rPr>
                      <w:t>Engineered biocatalysts for solar fuels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Molecular hydrogen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is an energy-dense alternative to fossil fuels, and many synthetic molecular catalysts capable of assembling protons and electrons into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have been developed. This presentation describes a complementary approach in which biomolecules are being engineered as catalysts for the reduction of water to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In particular, semisynthetic metalloproteins and metallopeptides that are water soluble and oxygen tolerant are being prepared. These artificial hydrogenases are readily synthesized and modified using standard peptide synthesis and protein engineering techniques. Derivatives with enhanced stability, activity, and efficiency have been prepared by altering protein or peptide amino acid sequence. To store light energy as the solar fuel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biological chromophores capable of photoinduced charge transfer to catalysts are being developed. This work is part of a multidisciplinary effort at the University of Rochester to engineer assemblies for photocatalytic hydrogen generation, drawing on approaches from biochemistry, synthetic chemistry, and nanotechnology.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2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2229772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Bio-based Materials and Processes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Ann Valentine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Temple University, Wynnewood,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2" w:anchor="2229772" w:history="1">
                    <w:r w:rsidRPr="0005639F">
                      <w:rPr>
                        <w:rFonts w:ascii="Times New Roman" w:eastAsia="Times New Roman" w:hAnsi="Times New Roman" w:cs="Times New Roman"/>
                        <w:color w:val="0000FF"/>
                        <w:sz w:val="20"/>
                        <w:szCs w:val="20"/>
                        <w:u w:val="single"/>
                      </w:rPr>
                      <w:t>Titanium minerals and biochemistry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Titanium is the ninth most abundant element in the earth’s crust, and titanium minerals are widespread, yet conventional wisdom holds that biology has very little to do with titanium. The element has a reputation for inertness that is belied by data from several experimental systems. This talk will address some interactions between titanium minerals and biology at the molecular level, and will examine cases in which organisms and/or biomolecules induce, bind, or dissolve titanium minerals.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2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2254913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Bio-based Materials and Processes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John S. Evans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New York University,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3" w:anchor="2254913" w:history="1">
                    <w:r w:rsidRPr="0005639F">
                      <w:rPr>
                        <w:rFonts w:ascii="Times New Roman" w:eastAsia="Times New Roman" w:hAnsi="Times New Roman" w:cs="Times New Roman"/>
                        <w:color w:val="0000FF"/>
                        <w:sz w:val="20"/>
                        <w:szCs w:val="20"/>
                        <w:u w:val="single"/>
                      </w:rPr>
                      <w:br/>
                      <w:t>Biomineralization Proteins: Controlling Pre- and Post-nucleation Aspects of Mineral Formation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br/>
                    <w:t>The formation of the mollusk shell and sea urchin spines represent events in calcium carbonate crystal engineering that are controlled by proteins. One of the major steps in this engineering process is the formation of protein phases or hydrogels which control pre- and post-nucleation events in the calcium carbonate mineralization process. To explore this phenomenon further, we will present studies of nacre (aragonite) mollusk shell proteins and a sea urchin spicule matrix (calcite) protein and show that both organisms utilize similar protein hydrogel - based strategies to assemble and organize mineral nanoparticles, and in the case of the nacre proteins, introduce nanoporosities within calcium carbonate crystals. These protein-based processes not only provide insights into the formation of natural biominerals but also represent novel building strategies for creating inorganic-based materials under ambient conditions.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2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2255429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Bio-based Materials and Processes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Trevor Douglas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Indiana University, Bloomington, IN,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4" w:anchor="2255429" w:history="1">
                    <w:r w:rsidRPr="0005639F">
                      <w:rPr>
                        <w:rFonts w:ascii="Times New Roman" w:eastAsia="Times New Roman" w:hAnsi="Times New Roman" w:cs="Times New Roman"/>
                        <w:b/>
                        <w:bCs/>
                        <w:color w:val="0000FF"/>
                        <w:sz w:val="20"/>
                        <w:szCs w:val="20"/>
                        <w:u w:val="single"/>
                      </w:rPr>
                      <w:t xml:space="preserve">Virus Nanoreactors and the Hierarchical Assembly of Coupled Catalytic Materials </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virus like particle (VLP) derived from bacteriophage P22 presents a unique platform for constructing catalytically functional nanomaterials by directed encapsulation of enzymes into the interior volume of the icosahedral capsid. Enzyme encapsulation has been engineered to be genetically programmed allowing “one pot” biosynthesis and directed self-assembly of desired enzymes within the roughly 60 nm diameter P22 capsid. The resulting nano-reactors comprise multiple copies of the cargo enzymes, densely packaged within the capsid at local concentrations that mimic predicted high intracellular macromolecule concentrations. Using enzymes derived from many different organisms, we have encapsulated multi-enzyme pathways within the P22 capsid through a process of directed self-assembly. The resulting nanoreactors demonstrate the bioengineering of robust and complex coupled catalytic nanomaterials. </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The system provides a platform with which to interrogate the effects of crowding on enzyme activity, the importance of catalyst adjacencies, the diffusion of intermediate species between partner catalysts in model synthetic metabolic pathways, and the effects of the capsid as a potential barrier limiting substrate access to the encapsulated enzymes. Aspects of the structure and kinetic behavior of these systems have been elucidated and a diffusion-based model for coupled cascade reactions has been developed. Using P22 nanoreactors as individual building blocks, with single or multi-enzyme systems encapsulated within them, we can extend the utility of the system towards the fabrication of long-range ordered materials that exhibit complex coupled catalytic behavior.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2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2289835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Bio-based Materials and Processes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Robert Mathers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Penn State New Kensington, New Kensington,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5" w:anchor="2289835" w:history="1">
                    <w:r w:rsidRPr="0005639F">
                      <w:rPr>
                        <w:rFonts w:ascii="Times New Roman" w:eastAsia="Times New Roman" w:hAnsi="Times New Roman" w:cs="Times New Roman"/>
                        <w:color w:val="0000FF"/>
                        <w:sz w:val="20"/>
                        <w:szCs w:val="20"/>
                        <w:u w:val="single"/>
                      </w:rPr>
                      <w:t>Plant-Based Approach to Anhydride Monomers and Bioplastics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 series of anhydride monomers have been melt polymerized with polyols to provide polyesters with a high degree of bio-based content, low E factors, and tunable degradability. This synthetic design satisfied a number of green chemistry principles, such as Principle 1 (reduce waste), Principle 2 (atom economy), Principle 4 (less hazardous chemical syntheses), Principle 7 (use of renewable feedstocks), Principle 9 (catalysis), and Principle 10 (design for degradation).</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2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bookmarkStart w:id="0" w:name="_GoBack"/>
                  <w:bookmarkEnd w:id="0"/>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2257841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Lucinda Dass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Isreal Moreno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Suzanne F. O'Handley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Rochester Inst of Tech,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6" w:anchor="2257841" w:history="1">
                    <w:r w:rsidRPr="0005639F">
                      <w:rPr>
                        <w:rFonts w:ascii="Times New Roman" w:eastAsia="Times New Roman" w:hAnsi="Times New Roman" w:cs="Times New Roman"/>
                        <w:color w:val="0000FF"/>
                        <w:sz w:val="20"/>
                        <w:szCs w:val="20"/>
                        <w:u w:val="single"/>
                      </w:rPr>
                      <w:t xml:space="preserve">NagD from </w:t>
                    </w:r>
                    <w:r w:rsidRPr="0005639F">
                      <w:rPr>
                        <w:rFonts w:ascii="Times New Roman" w:eastAsia="Times New Roman" w:hAnsi="Times New Roman" w:cs="Times New Roman"/>
                        <w:i/>
                        <w:iCs/>
                        <w:color w:val="0000FF"/>
                        <w:sz w:val="20"/>
                        <w:szCs w:val="20"/>
                        <w:u w:val="single"/>
                      </w:rPr>
                      <w:t>Yersinia pestis</w:t>
                    </w:r>
                    <w:r w:rsidRPr="0005639F">
                      <w:rPr>
                        <w:rFonts w:ascii="Times New Roman" w:eastAsia="Times New Roman" w:hAnsi="Times New Roman" w:cs="Times New Roman"/>
                        <w:color w:val="0000FF"/>
                        <w:sz w:val="20"/>
                        <w:szCs w:val="20"/>
                        <w:u w:val="single"/>
                      </w:rPr>
                      <w:t xml:space="preserve">, a homolog to NagD UMPase from </w:t>
                    </w:r>
                    <w:r w:rsidRPr="0005639F">
                      <w:rPr>
                        <w:rFonts w:ascii="Times New Roman" w:eastAsia="Times New Roman" w:hAnsi="Times New Roman" w:cs="Times New Roman"/>
                        <w:i/>
                        <w:iCs/>
                        <w:color w:val="0000FF"/>
                        <w:sz w:val="20"/>
                        <w:szCs w:val="20"/>
                        <w:u w:val="single"/>
                      </w:rPr>
                      <w:t>E. coli</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NagD UMPase from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xml:space="preserve"> is a member of the p-nitrophenyl phosphatase family of the Haloacid Dehalogenase (HAD) superfamily. There is a NagD homolog in </w:t>
                  </w:r>
                  <w:r w:rsidRPr="0005639F">
                    <w:rPr>
                      <w:rFonts w:ascii="Times New Roman" w:eastAsia="Times New Roman" w:hAnsi="Times New Roman" w:cs="Times New Roman"/>
                      <w:i/>
                      <w:iCs/>
                      <w:sz w:val="20"/>
                      <w:szCs w:val="20"/>
                    </w:rPr>
                    <w:t>Yersinia pestis</w:t>
                  </w:r>
                  <w:r w:rsidRPr="0005639F">
                    <w:rPr>
                      <w:rFonts w:ascii="Times New Roman" w:eastAsia="Times New Roman" w:hAnsi="Times New Roman" w:cs="Times New Roman"/>
                      <w:sz w:val="20"/>
                      <w:szCs w:val="20"/>
                    </w:rPr>
                    <w:t xml:space="preserve"> with &gt;80% identical or similar amino acids and thus it is predicted to be an UMPase like NagD from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xml:space="preserve">. However, the only way to truly know the activity of a protein is to characterize the purified protein. We are in the process of cloning the gene. Once the gene is cloned, we will express, purify, and characterize the enzyme, and compare its specific activity, pH optimum, and metal ion requirements to those of NagD from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Y. pestis</w:t>
                  </w:r>
                  <w:r w:rsidRPr="0005639F">
                    <w:rPr>
                      <w:rFonts w:ascii="Times New Roman" w:eastAsia="Times New Roman" w:hAnsi="Times New Roman" w:cs="Times New Roman"/>
                      <w:sz w:val="20"/>
                      <w:szCs w:val="20"/>
                    </w:rPr>
                    <w:t xml:space="preserve"> is the causative agent of “the plague”, a disease of historical significance that is still prevalent today. Studying proteins from </w:t>
                  </w:r>
                  <w:r w:rsidRPr="0005639F">
                    <w:rPr>
                      <w:rFonts w:ascii="Times New Roman" w:eastAsia="Times New Roman" w:hAnsi="Times New Roman" w:cs="Times New Roman"/>
                      <w:i/>
                      <w:iCs/>
                      <w:sz w:val="20"/>
                      <w:szCs w:val="20"/>
                    </w:rPr>
                    <w:t>Y. pestis</w:t>
                  </w:r>
                  <w:r w:rsidRPr="0005639F">
                    <w:rPr>
                      <w:rFonts w:ascii="Times New Roman" w:eastAsia="Times New Roman" w:hAnsi="Times New Roman" w:cs="Times New Roman"/>
                      <w:sz w:val="20"/>
                      <w:szCs w:val="20"/>
                    </w:rPr>
                    <w:t xml:space="preserve"> will help us to understand this pathogen better and may help us to discover potential novel antibiotic targets.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2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CONTROL ID: </w:t>
                  </w:r>
                  <w:r w:rsidRPr="0005639F">
                    <w:rPr>
                      <w:rFonts w:ascii="Times New Roman" w:eastAsia="Times New Roman" w:hAnsi="Times New Roman" w:cs="Times New Roman"/>
                      <w:sz w:val="20"/>
                      <w:szCs w:val="20"/>
                    </w:rPr>
                    <w:t>2258527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Isreal Moreno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Lucinda Dass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Sebastian A. Ramirez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Jacqueline Hill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Kimbria Blake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Joshua Thomson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Suzanne F. O'Handley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Rochester Inst of Tech,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7" w:anchor="2258527" w:history="1">
                    <w:r w:rsidRPr="0005639F">
                      <w:rPr>
                        <w:rFonts w:ascii="Times New Roman" w:eastAsia="Times New Roman" w:hAnsi="Times New Roman" w:cs="Times New Roman"/>
                        <w:color w:val="0000FF"/>
                        <w:sz w:val="20"/>
                        <w:szCs w:val="20"/>
                        <w:u w:val="single"/>
                      </w:rPr>
                      <w:t xml:space="preserve">A phosphoglycolate phosphatase virulence factor from </w:t>
                    </w:r>
                    <w:r w:rsidRPr="0005639F">
                      <w:rPr>
                        <w:rFonts w:ascii="Times New Roman" w:eastAsia="Times New Roman" w:hAnsi="Times New Roman" w:cs="Times New Roman"/>
                        <w:i/>
                        <w:iCs/>
                        <w:color w:val="0000FF"/>
                        <w:sz w:val="20"/>
                        <w:szCs w:val="20"/>
                        <w:u w:val="single"/>
                      </w:rPr>
                      <w:t>Staphylococcus aureus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i/>
                      <w:iCs/>
                      <w:sz w:val="20"/>
                      <w:szCs w:val="20"/>
                    </w:rPr>
                    <w:t>Staphylococcus aureus</w:t>
                  </w:r>
                  <w:r w:rsidRPr="0005639F">
                    <w:rPr>
                      <w:rFonts w:ascii="Times New Roman" w:eastAsia="Times New Roman" w:hAnsi="Times New Roman" w:cs="Times New Roman"/>
                      <w:sz w:val="20"/>
                      <w:szCs w:val="20"/>
                    </w:rPr>
                    <w:t xml:space="preserve"> is a major cause of hospital-acquired infections. The multi-drug resistant nature of certain </w:t>
                  </w:r>
                  <w:r w:rsidRPr="0005639F">
                    <w:rPr>
                      <w:rFonts w:ascii="Times New Roman" w:eastAsia="Times New Roman" w:hAnsi="Times New Roman" w:cs="Times New Roman"/>
                      <w:i/>
                      <w:iCs/>
                      <w:sz w:val="20"/>
                      <w:szCs w:val="20"/>
                    </w:rPr>
                    <w:t>S. aureus</w:t>
                  </w:r>
                  <w:r w:rsidRPr="0005639F">
                    <w:rPr>
                      <w:rFonts w:ascii="Times New Roman" w:eastAsia="Times New Roman" w:hAnsi="Times New Roman" w:cs="Times New Roman"/>
                      <w:sz w:val="20"/>
                      <w:szCs w:val="20"/>
                    </w:rPr>
                    <w:t xml:space="preserve"> strains makes the discovery of new </w:t>
                  </w:r>
                  <w:r w:rsidRPr="0005639F">
                    <w:rPr>
                      <w:rFonts w:ascii="Times New Roman" w:eastAsia="Times New Roman" w:hAnsi="Times New Roman" w:cs="Times New Roman"/>
                      <w:i/>
                      <w:iCs/>
                      <w:sz w:val="20"/>
                      <w:szCs w:val="20"/>
                    </w:rPr>
                    <w:t>S. aureus</w:t>
                  </w:r>
                  <w:r w:rsidRPr="0005639F">
                    <w:rPr>
                      <w:rFonts w:ascii="Times New Roman" w:eastAsia="Times New Roman" w:hAnsi="Times New Roman" w:cs="Times New Roman"/>
                      <w:sz w:val="20"/>
                      <w:szCs w:val="20"/>
                    </w:rPr>
                    <w:t xml:space="preserve"> drug targets vital. A newly discovered virulence factor from </w:t>
                  </w:r>
                  <w:r w:rsidRPr="0005639F">
                    <w:rPr>
                      <w:rFonts w:ascii="Times New Roman" w:eastAsia="Times New Roman" w:hAnsi="Times New Roman" w:cs="Times New Roman"/>
                      <w:i/>
                      <w:iCs/>
                      <w:sz w:val="20"/>
                      <w:szCs w:val="20"/>
                    </w:rPr>
                    <w:t>S. aureus</w:t>
                  </w:r>
                  <w:r w:rsidRPr="0005639F">
                    <w:rPr>
                      <w:rFonts w:ascii="Times New Roman" w:eastAsia="Times New Roman" w:hAnsi="Times New Roman" w:cs="Times New Roman"/>
                      <w:sz w:val="20"/>
                      <w:szCs w:val="20"/>
                    </w:rPr>
                    <w:t xml:space="preserve"> was described as a homolog of NagD from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xml:space="preserve">, a member of the nitrophenyl phosphatase family of the HAD (Haloacid Dehalogenase) superfamily. We cloned the gene, expressed and purified the protein, and determined its activity. This virulence factor is not an ortholog of NagD UMPase from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xml:space="preserve">, but rather a phosphoglycolate phosphatase (PGPase). If phosphoglycolate accumulates in the cell, it will inhibit the glycolytic enzyme triose phosphate isomerase (TPI). In </w:t>
                  </w:r>
                  <w:r w:rsidRPr="0005639F">
                    <w:rPr>
                      <w:rFonts w:ascii="Times New Roman" w:eastAsia="Times New Roman" w:hAnsi="Times New Roman" w:cs="Times New Roman"/>
                      <w:i/>
                      <w:iCs/>
                      <w:sz w:val="20"/>
                      <w:szCs w:val="20"/>
                    </w:rPr>
                    <w:t>S. aureus</w:t>
                  </w:r>
                  <w:r w:rsidRPr="0005639F">
                    <w:rPr>
                      <w:rFonts w:ascii="Times New Roman" w:eastAsia="Times New Roman" w:hAnsi="Times New Roman" w:cs="Times New Roman"/>
                      <w:sz w:val="20"/>
                      <w:szCs w:val="20"/>
                    </w:rPr>
                    <w:t xml:space="preserve">, TPI also serves as an adhesion molecule that can bind to host cells via sugar-side chains; phosphoglycolate would interfere with this adhesion process and thus make it harder for </w:t>
                  </w:r>
                  <w:r w:rsidRPr="0005639F">
                    <w:rPr>
                      <w:rFonts w:ascii="Times New Roman" w:eastAsia="Times New Roman" w:hAnsi="Times New Roman" w:cs="Times New Roman"/>
                      <w:i/>
                      <w:iCs/>
                      <w:sz w:val="20"/>
                      <w:szCs w:val="20"/>
                    </w:rPr>
                    <w:t>S. aureus</w:t>
                  </w:r>
                  <w:r w:rsidRPr="0005639F">
                    <w:rPr>
                      <w:rFonts w:ascii="Times New Roman" w:eastAsia="Times New Roman" w:hAnsi="Times New Roman" w:cs="Times New Roman"/>
                      <w:sz w:val="20"/>
                      <w:szCs w:val="20"/>
                    </w:rPr>
                    <w:t xml:space="preserve"> to infect a new host cell. Thus, this </w:t>
                  </w:r>
                  <w:r w:rsidRPr="0005639F">
                    <w:rPr>
                      <w:rFonts w:ascii="Times New Roman" w:eastAsia="Times New Roman" w:hAnsi="Times New Roman" w:cs="Times New Roman"/>
                      <w:i/>
                      <w:iCs/>
                      <w:sz w:val="20"/>
                      <w:szCs w:val="20"/>
                    </w:rPr>
                    <w:t>S. aureus</w:t>
                  </w:r>
                  <w:r w:rsidRPr="0005639F">
                    <w:rPr>
                      <w:rFonts w:ascii="Times New Roman" w:eastAsia="Times New Roman" w:hAnsi="Times New Roman" w:cs="Times New Roman"/>
                      <w:sz w:val="20"/>
                      <w:szCs w:val="20"/>
                    </w:rPr>
                    <w:t xml:space="preserve"> PGPase may act as a virulence factor by degrading the TPI inhibitor phosphoglycolate. We have subcloned this PGPase into a His-tag vector and purified the protein using nickel affinity and size exclusion chromatography. We are currently screening crystals for use in determining the xray crystal structure. This research was supported by an NIH AREA grant and RIT FEAD grant (SOH) and an RIT research and creativity grant (IM).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2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2262624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Joseph Kraai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Crissana Christie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Katherine Hicks</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SUNY Cortland, Marcellus , NY, United States. </w:t>
                  </w:r>
                  <w:r w:rsidRPr="0005639F">
                    <w:rPr>
                      <w:rFonts w:ascii="Times New Roman" w:eastAsia="Times New Roman" w:hAnsi="Times New Roman" w:cs="Times New Roman"/>
                      <w:sz w:val="20"/>
                      <w:szCs w:val="20"/>
                    </w:rPr>
                    <w:br/>
                    <w:t xml:space="preserve">2. Chemistry, SUNY Cortland, Cortland,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8" w:anchor="2262624" w:history="1">
                    <w:r w:rsidRPr="0005639F">
                      <w:rPr>
                        <w:rFonts w:ascii="Times New Roman" w:eastAsia="Times New Roman" w:hAnsi="Times New Roman" w:cs="Times New Roman"/>
                        <w:color w:val="0000FF"/>
                        <w:sz w:val="20"/>
                        <w:szCs w:val="20"/>
                        <w:u w:val="single"/>
                      </w:rPr>
                      <w:t>Biochemical investigation of the determinants of NicC binding affinity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This work involves examining 6-hydroxynicotinate 3-monooxygenase (NicC), an enzyme present in strains of the bacteria </w:t>
                  </w:r>
                  <w:r w:rsidRPr="0005639F">
                    <w:rPr>
                      <w:rFonts w:ascii="Times New Roman" w:eastAsia="Times New Roman" w:hAnsi="Times New Roman" w:cs="Times New Roman"/>
                      <w:i/>
                      <w:iCs/>
                      <w:sz w:val="20"/>
                      <w:szCs w:val="20"/>
                    </w:rPr>
                    <w:t>Pseudomonas putida</w:t>
                  </w:r>
                  <w:r w:rsidRPr="0005639F">
                    <w:rPr>
                      <w:rFonts w:ascii="Times New Roman" w:eastAsia="Times New Roman" w:hAnsi="Times New Roman" w:cs="Times New Roman"/>
                      <w:sz w:val="20"/>
                      <w:szCs w:val="20"/>
                    </w:rPr>
                    <w:t>. NicC catalyzes a decarboxylative hydroxylation reaction in which 6-hydroxynicotinic acid (the natural substrate) is converted to 2,5-dihydroxypyridine (product). Our ultimate goal of this project is to broaden the substrate specificity of NicC such that it can readily bind to polycyclic aromatic hydrocarbons (PAHs), a class of environmental pollutants that are commonly produced during industrial processes, and catalyze the turnover of monocyclic aromatic hydrocarbons.</w:t>
                  </w:r>
                  <w:r w:rsidRPr="0005639F">
                    <w:rPr>
                      <w:rFonts w:ascii="Times New Roman" w:eastAsia="Times New Roman" w:hAnsi="Times New Roman" w:cs="Times New Roman"/>
                      <w:sz w:val="20"/>
                      <w:szCs w:val="20"/>
                    </w:rPr>
                    <w:br/>
                    <w:t>Toward this goal, our work involved measuring the binding affinity of NicC for various substrates that have different functional groups at the 6-position of the substrate in order to determine the physical parameters underlying substrate specificity. Specifically, we studied the binding affinities of the substrate analogs, 6-methylnicotinic acid and benzoic acid, for NicC using a fluorescence resonance energy transfer (FRET)-based affinity assay. Experimental results suggest that 6-methylnicotinic acid has a K</w:t>
                  </w:r>
                  <w:r w:rsidRPr="0005639F">
                    <w:rPr>
                      <w:rFonts w:ascii="Times New Roman" w:eastAsia="Times New Roman" w:hAnsi="Times New Roman" w:cs="Times New Roman"/>
                      <w:sz w:val="20"/>
                      <w:szCs w:val="20"/>
                      <w:vertAlign w:val="subscript"/>
                    </w:rPr>
                    <w:t>d</w:t>
                  </w:r>
                  <w:r w:rsidRPr="0005639F">
                    <w:rPr>
                      <w:rFonts w:ascii="Times New Roman" w:eastAsia="Times New Roman" w:hAnsi="Times New Roman" w:cs="Times New Roman"/>
                      <w:sz w:val="20"/>
                      <w:szCs w:val="20"/>
                    </w:rPr>
                    <w:t xml:space="preserve"> value of approximately 7.5 ± 0.1 uM, similar to the natural substrate which has a K</w:t>
                  </w:r>
                  <w:r w:rsidRPr="0005639F">
                    <w:rPr>
                      <w:rFonts w:ascii="Times New Roman" w:eastAsia="Times New Roman" w:hAnsi="Times New Roman" w:cs="Times New Roman"/>
                      <w:sz w:val="20"/>
                      <w:szCs w:val="20"/>
                      <w:vertAlign w:val="subscript"/>
                    </w:rPr>
                    <w:t>d</w:t>
                  </w:r>
                  <w:r w:rsidRPr="0005639F">
                    <w:rPr>
                      <w:rFonts w:ascii="Times New Roman" w:eastAsia="Times New Roman" w:hAnsi="Times New Roman" w:cs="Times New Roman"/>
                      <w:sz w:val="20"/>
                      <w:szCs w:val="20"/>
                    </w:rPr>
                    <w:t xml:space="preserve"> of 11.2 ± 1.5 uM. Thus, our studies indicate that the presence of a methyl group at the 6-position of the substrate has minimal effects on binding affinity. Initial studies with benzoic acid suggest this analog has 6-fold lower binding affinity for NicC than the natural substrate. Together, these data suggest that NicC substrate specificity is relatively narrow. Further experiments will involve measuring catalytic turnover with these analogs in order to determine if NicC substrate specificity is determined by reactivity or </w:t>
                  </w:r>
                  <w:r w:rsidRPr="0005639F">
                    <w:rPr>
                      <w:rFonts w:ascii="Times New Roman" w:eastAsia="Times New Roman" w:hAnsi="Times New Roman" w:cs="Times New Roman"/>
                      <w:sz w:val="20"/>
                      <w:szCs w:val="20"/>
                    </w:rPr>
                    <w:lastRenderedPageBreak/>
                    <w:t>binding affinity.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2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2265130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Courtney Kellogg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Kimbria Blake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Suzanne F. O'Handley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Austin U. Gehret</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School of Chemistry and Materials Science, Rochester Institute of Technology, Rochester, NY, United States. </w:t>
                  </w:r>
                  <w:r w:rsidRPr="0005639F">
                    <w:rPr>
                      <w:rFonts w:ascii="Times New Roman" w:eastAsia="Times New Roman" w:hAnsi="Times New Roman" w:cs="Times New Roman"/>
                      <w:sz w:val="20"/>
                      <w:szCs w:val="20"/>
                    </w:rPr>
                    <w:br/>
                    <w:t xml:space="preserve">2. Science &amp; Mathematics, National Technical Institute for the Deaf, Rochester Institute of Technology,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59" w:anchor="2265130" w:history="1">
                    <w:r w:rsidRPr="0005639F">
                      <w:rPr>
                        <w:rFonts w:ascii="Times New Roman" w:eastAsia="Times New Roman" w:hAnsi="Times New Roman" w:cs="Times New Roman"/>
                        <w:color w:val="0000FF"/>
                        <w:sz w:val="20"/>
                        <w:szCs w:val="20"/>
                        <w:u w:val="single"/>
                      </w:rPr>
                      <w:t xml:space="preserve">Phenotypic and Complementation studies of PHO13 activity in </w:t>
                    </w:r>
                    <w:r w:rsidRPr="0005639F">
                      <w:rPr>
                        <w:rFonts w:ascii="Times New Roman" w:eastAsia="Times New Roman" w:hAnsi="Times New Roman" w:cs="Times New Roman"/>
                        <w:i/>
                        <w:iCs/>
                        <w:color w:val="0000FF"/>
                        <w:sz w:val="20"/>
                        <w:szCs w:val="20"/>
                        <w:u w:val="single"/>
                      </w:rPr>
                      <w:t>Saccharomyces Cerevisiae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i/>
                      <w:iCs/>
                      <w:sz w:val="20"/>
                      <w:szCs w:val="20"/>
                    </w:rPr>
                    <w:t xml:space="preserve">PHO13 </w:t>
                  </w:r>
                  <w:r w:rsidRPr="0005639F">
                    <w:rPr>
                      <w:rFonts w:ascii="Times New Roman" w:eastAsia="Times New Roman" w:hAnsi="Times New Roman" w:cs="Times New Roman"/>
                      <w:sz w:val="20"/>
                      <w:szCs w:val="20"/>
                    </w:rPr>
                    <w:t xml:space="preserve">in </w:t>
                  </w:r>
                  <w:r w:rsidRPr="0005639F">
                    <w:rPr>
                      <w:rFonts w:ascii="Times New Roman" w:eastAsia="Times New Roman" w:hAnsi="Times New Roman" w:cs="Times New Roman"/>
                      <w:i/>
                      <w:iCs/>
                      <w:sz w:val="20"/>
                      <w:szCs w:val="20"/>
                    </w:rPr>
                    <w:t>Saccharomyces Cerevisiae</w:t>
                  </w:r>
                  <w:r w:rsidRPr="0005639F">
                    <w:rPr>
                      <w:rFonts w:ascii="Times New Roman" w:eastAsia="Times New Roman" w:hAnsi="Times New Roman" w:cs="Times New Roman"/>
                      <w:sz w:val="20"/>
                      <w:szCs w:val="20"/>
                    </w:rPr>
                    <w:t xml:space="preserve"> (bakers yeast) is a para-nitrophenylphosphatase (pNPPase) within the haloacid dehalogenase (HAD) superfamily. The natural substrate for </w:t>
                  </w:r>
                  <w:r w:rsidRPr="0005639F">
                    <w:rPr>
                      <w:rFonts w:ascii="Times New Roman" w:eastAsia="Times New Roman" w:hAnsi="Times New Roman" w:cs="Times New Roman"/>
                      <w:i/>
                      <w:iCs/>
                      <w:sz w:val="20"/>
                      <w:szCs w:val="20"/>
                    </w:rPr>
                    <w:t>PHO13</w:t>
                  </w:r>
                  <w:r w:rsidRPr="0005639F">
                    <w:rPr>
                      <w:rFonts w:ascii="Times New Roman" w:eastAsia="Times New Roman" w:hAnsi="Times New Roman" w:cs="Times New Roman"/>
                      <w:sz w:val="20"/>
                      <w:szCs w:val="20"/>
                    </w:rPr>
                    <w:t xml:space="preserve"> is currently debated but the enzyme has been identified in our lab to possess specific activity to 2-phosphoglycolate, making it a phosphoglycolate phosphatase (PGPase). In photosynthetic organisms, 2-phosphoglycolate is generated by the oxygenation reaction of RuBisCO in the Calvin Cycle. To be recycled back into the general metabolism, a photosynthetic PGPase must convert 2-phosphoglycolate to glycolate. In non-photosynthetic yeast, 2-phosphoglycolate must be generated by some other mechanism, possibly by oxidative damage to DNA. Regardless of its origin, 2-phosphoglycolate must be catabolized due to its ability to inhibit triose phosphate isomerase (</w:t>
                  </w:r>
                  <w:r w:rsidRPr="0005639F">
                    <w:rPr>
                      <w:rFonts w:ascii="Times New Roman" w:eastAsia="Times New Roman" w:hAnsi="Times New Roman" w:cs="Times New Roman"/>
                      <w:i/>
                      <w:iCs/>
                      <w:sz w:val="20"/>
                      <w:szCs w:val="20"/>
                    </w:rPr>
                    <w:t>TPI</w:t>
                  </w:r>
                  <w:r w:rsidRPr="0005639F">
                    <w:rPr>
                      <w:rFonts w:ascii="Times New Roman" w:eastAsia="Times New Roman" w:hAnsi="Times New Roman" w:cs="Times New Roman"/>
                      <w:sz w:val="20"/>
                      <w:szCs w:val="20"/>
                    </w:rPr>
                    <w:t>). Yeast cells lacking functional Pho13p (</w:t>
                  </w:r>
                  <w:r w:rsidRPr="0005639F">
                    <w:rPr>
                      <w:rFonts w:ascii="Times New Roman" w:eastAsia="Times New Roman" w:hAnsi="Times New Roman" w:cs="Times New Roman"/>
                      <w:i/>
                      <w:iCs/>
                      <w:sz w:val="20"/>
                      <w:szCs w:val="20"/>
                    </w:rPr>
                    <w:t>pho13</w:t>
                  </w:r>
                  <w:r w:rsidRPr="0005639F">
                    <w:rPr>
                      <w:rFonts w:ascii="Times New Roman" w:eastAsia="Times New Roman" w:hAnsi="Times New Roman" w:cs="Times New Roman"/>
                      <w:sz w:val="20"/>
                      <w:szCs w:val="20"/>
                    </w:rPr>
                    <w:t xml:space="preserve">D) are being investigated for growth phenotypes that support </w:t>
                  </w:r>
                  <w:r w:rsidRPr="0005639F">
                    <w:rPr>
                      <w:rFonts w:ascii="Times New Roman" w:eastAsia="Times New Roman" w:hAnsi="Times New Roman" w:cs="Times New Roman"/>
                      <w:i/>
                      <w:iCs/>
                      <w:sz w:val="20"/>
                      <w:szCs w:val="20"/>
                    </w:rPr>
                    <w:t>TPI</w:t>
                  </w:r>
                  <w:r w:rsidRPr="0005639F">
                    <w:rPr>
                      <w:rFonts w:ascii="Times New Roman" w:eastAsia="Times New Roman" w:hAnsi="Times New Roman" w:cs="Times New Roman"/>
                      <w:sz w:val="20"/>
                      <w:szCs w:val="20"/>
                    </w:rPr>
                    <w:t xml:space="preserve"> inhibition by elevated 2-phosphoglycolate. These include the ability of the mutant strain to grow in the presence of hyperosmotic media (1M NaCl) or in the absence of exogenous inositol.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2274559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Timothy Owen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George Ngoje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Brian P. Callahan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Binghamton University, Binghamton,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0" w:anchor="2274559" w:history="1">
                    <w:r w:rsidRPr="0005639F">
                      <w:rPr>
                        <w:rFonts w:ascii="Times New Roman" w:eastAsia="Times New Roman" w:hAnsi="Times New Roman" w:cs="Times New Roman"/>
                        <w:color w:val="0000FF"/>
                        <w:sz w:val="20"/>
                        <w:szCs w:val="20"/>
                        <w:u w:val="single"/>
                      </w:rPr>
                      <w:t>A FRET-based Assay to Screen for Antagonists of Hedgehog Cholesterolysis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Hedgehog proteins (Hh) constitute a family of secreted signaling ligands responsible for proper development of human embryos while also being linked to the progression of several types of cancer in adults. Here we focus on the autocatalytic cleavage and modification of Hh by cholesterol, called cholesterolysis. This transformation which is essential for Hh function and occurs before secretion remains relatively unexplored mechanistically due to the lack of an effective assay. By modifying an existing FRET-based assay for studying self-cleaving inteins, we have developed a robust activity assay to continuously monitor Hh cholesterolysis in multi-well plates. Using this assay, a library of 240 protease inhibitors was screened for cholesterolysis antagonists. The screen yielded a covalent inhibitor (compound ID, ST044643) of Hh cholesterolysis with an apparent IC</w:t>
                  </w:r>
                  <w:r w:rsidRPr="0005639F">
                    <w:rPr>
                      <w:rFonts w:ascii="Times New Roman" w:eastAsia="Times New Roman" w:hAnsi="Times New Roman" w:cs="Times New Roman"/>
                      <w:sz w:val="20"/>
                      <w:szCs w:val="20"/>
                      <w:vertAlign w:val="subscript"/>
                    </w:rPr>
                    <w:t>50</w:t>
                  </w:r>
                  <w:r w:rsidRPr="0005639F">
                    <w:rPr>
                      <w:rFonts w:ascii="Times New Roman" w:eastAsia="Times New Roman" w:hAnsi="Times New Roman" w:cs="Times New Roman"/>
                      <w:sz w:val="20"/>
                      <w:szCs w:val="20"/>
                    </w:rPr>
                    <w:t xml:space="preserve"> of 5X10</w:t>
                  </w:r>
                  <w:r w:rsidRPr="0005639F">
                    <w:rPr>
                      <w:rFonts w:ascii="Times New Roman" w:eastAsia="Times New Roman" w:hAnsi="Times New Roman" w:cs="Times New Roman"/>
                      <w:sz w:val="20"/>
                      <w:szCs w:val="20"/>
                      <w:vertAlign w:val="superscript"/>
                    </w:rPr>
                    <w:t>-6</w:t>
                  </w:r>
                  <w:r w:rsidRPr="0005639F">
                    <w:rPr>
                      <w:rFonts w:ascii="Times New Roman" w:eastAsia="Times New Roman" w:hAnsi="Times New Roman" w:cs="Times New Roman"/>
                      <w:sz w:val="20"/>
                      <w:szCs w:val="20"/>
                    </w:rPr>
                    <w:t xml:space="preserve"> M. Based on a binding assay with point mutants of Hh, ST044643 appears to modify an essential cysteine residue of the Hh, possibly by a S</w:t>
                  </w:r>
                  <w:r w:rsidRPr="0005639F">
                    <w:rPr>
                      <w:rFonts w:ascii="Times New Roman" w:eastAsia="Times New Roman" w:hAnsi="Times New Roman" w:cs="Times New Roman"/>
                      <w:sz w:val="20"/>
                      <w:szCs w:val="20"/>
                      <w:vertAlign w:val="subscript"/>
                    </w:rPr>
                    <w:t>N</w:t>
                  </w:r>
                  <w:r w:rsidRPr="0005639F">
                    <w:rPr>
                      <w:rFonts w:ascii="Times New Roman" w:eastAsia="Times New Roman" w:hAnsi="Times New Roman" w:cs="Times New Roman"/>
                      <w:sz w:val="20"/>
                      <w:szCs w:val="20"/>
                    </w:rPr>
                    <w:t>Ar mechanism. We plan to use ST044643 as a positive control in screens against larger more diverse libraries of small molecules. In conclusion, we have developed and applied an optical assay with the potential to identify a novel class of Hh inhibitors and that might serve to regulate aberrant Hh activity.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2287961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Roshanak Aslebagh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Steven J. Fliesler</w:t>
                  </w:r>
                  <w:r w:rsidRPr="0005639F">
                    <w:rPr>
                      <w:rFonts w:ascii="Times New Roman" w:eastAsia="Times New Roman" w:hAnsi="Times New Roman" w:cs="Times New Roman"/>
                      <w:sz w:val="20"/>
                      <w:szCs w:val="20"/>
                      <w:vertAlign w:val="superscript"/>
                    </w:rPr>
                    <w:t>2, 3</w:t>
                  </w:r>
                  <w:r w:rsidRPr="0005639F">
                    <w:rPr>
                      <w:rFonts w:ascii="Times New Roman" w:eastAsia="Times New Roman" w:hAnsi="Times New Roman" w:cs="Times New Roman"/>
                      <w:sz w:val="20"/>
                      <w:szCs w:val="20"/>
                    </w:rPr>
                    <w:t>, Bruce A. Pfeffer</w:t>
                  </w:r>
                  <w:r w:rsidRPr="0005639F">
                    <w:rPr>
                      <w:rFonts w:ascii="Times New Roman" w:eastAsia="Times New Roman" w:hAnsi="Times New Roman" w:cs="Times New Roman"/>
                      <w:sz w:val="20"/>
                      <w:szCs w:val="20"/>
                      <w:vertAlign w:val="superscript"/>
                    </w:rPr>
                    <w:t>2, 3</w:t>
                  </w:r>
                  <w:r w:rsidRPr="0005639F">
                    <w:rPr>
                      <w:rFonts w:ascii="Times New Roman" w:eastAsia="Times New Roman" w:hAnsi="Times New Roman" w:cs="Times New Roman"/>
                      <w:sz w:val="20"/>
                      <w:szCs w:val="20"/>
                    </w:rPr>
                    <w:t>, Costel C. Darie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Biomolecular Science, Clarkson University, Potsdam, NY, United States. </w:t>
                  </w:r>
                  <w:r w:rsidRPr="0005639F">
                    <w:rPr>
                      <w:rFonts w:ascii="Times New Roman" w:eastAsia="Times New Roman" w:hAnsi="Times New Roman" w:cs="Times New Roman"/>
                      <w:sz w:val="20"/>
                      <w:szCs w:val="20"/>
                    </w:rPr>
                    <w:br/>
                    <w:t xml:space="preserve">2. Departments of Ophthalmology and Biochemistry, SUNY- University at Buffalo, Buffalo, NY, United States. </w:t>
                  </w:r>
                  <w:r w:rsidRPr="0005639F">
                    <w:rPr>
                      <w:rFonts w:ascii="Times New Roman" w:eastAsia="Times New Roman" w:hAnsi="Times New Roman" w:cs="Times New Roman"/>
                      <w:sz w:val="20"/>
                      <w:szCs w:val="20"/>
                    </w:rPr>
                    <w:br/>
                    <w:t xml:space="preserve">3. Research Service, VA Western NY Healthcare System, Buffalo,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1" w:anchor="2287961" w:history="1">
                    <w:r w:rsidRPr="0005639F">
                      <w:rPr>
                        <w:rFonts w:ascii="Times New Roman" w:eastAsia="Times New Roman" w:hAnsi="Times New Roman" w:cs="Times New Roman"/>
                        <w:b/>
                        <w:bCs/>
                        <w:color w:val="0000FF"/>
                        <w:sz w:val="20"/>
                        <w:szCs w:val="20"/>
                        <w:u w:val="single"/>
                      </w:rPr>
                      <w:t>Mass Spectrometry Based Proteomics of Oxidative Stress: Investigating of Amino Acids Modifications by 4-hydroxy-2-nonenal (HNE) using Lysozyme as a model protein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Oxidative stress has been associated with many metabolic, hereditary, and age-related diseases. One </w:t>
                  </w:r>
                  <w:r w:rsidRPr="0005639F">
                    <w:rPr>
                      <w:rFonts w:ascii="Times New Roman" w:eastAsia="Times New Roman" w:hAnsi="Times New Roman" w:cs="Times New Roman"/>
                      <w:sz w:val="20"/>
                      <w:szCs w:val="20"/>
                    </w:rPr>
                    <w:lastRenderedPageBreak/>
                    <w:t>process that occurs in oxidative stress (of cells and tissues) is the oxidation of polyunsaturated omega-6 fatty acids, which causes the production of 4-hydroxy-2-nonenal (HNE) as a by-product. HNE is a reactive aldehyde that can modify proteins by forming covalent adducts, causing alterations in protein function. Although modification of some amino acids, such as cysteine, histidine and lysine, have been described previously, others are possible, but yet to be described. In this study, we used lysozyme as a model protein for investigation of HNE-modifications. Chicken egg white lysozyme was treated with different concentrations of HNE; treated and untreated lysozyme samples were then analyzed by Electro Spray Ionization- Quadrapole Time of Flight Micro Mass Spectrometer (ESI-QTOF Micro MS) in positive ionization mode. In parallel, samples were subjected to SDS-PAGE; the Coomassie Blue-stained bands were excised, trypsin-digested, and then extracted and purified (C18 Ziptip), followed by nano-Liquid Chromatography Tandem Mass Spectrometry (nanoLC-MS/MS) analysis using a NanoAcquity UPLC coupled with a QTOF Ultima API mass spectrometer. Data analysis was performed using ProteinLynx Global Server (PLGS version 2.4), with a custom-created database against unmodified and modified lysozyme. Using ESI-MS analysis, we found HNE modifications on up to seven amino acid residues per molecule of lysozyme; we also used nanoLC-MS/MS analysis to investigate the sites of modifications. We found that in addition to cysteine, histidine and perhaps lysine residues, arginine residues also were modified, which heretofore has not been detected commonly. Additional modifications are currently under investigation.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2288958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Cristina B. Martin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Cornelius Taabazuing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Michael Knapp</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University of Massachusetts Amherst, Hadley, MA, United States. </w:t>
                  </w:r>
                  <w:r w:rsidRPr="0005639F">
                    <w:rPr>
                      <w:rFonts w:ascii="Times New Roman" w:eastAsia="Times New Roman" w:hAnsi="Times New Roman" w:cs="Times New Roman"/>
                      <w:sz w:val="20"/>
                      <w:szCs w:val="20"/>
                    </w:rPr>
                    <w:br/>
                    <w:t xml:space="preserve">2. Chemistry, University of Massachusetts Amherst, Amherst,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2" w:anchor="2288958" w:history="1">
                    <w:r w:rsidRPr="0005639F">
                      <w:rPr>
                        <w:rFonts w:ascii="Times New Roman" w:eastAsia="Times New Roman" w:hAnsi="Times New Roman" w:cs="Times New Roman"/>
                        <w:b/>
                        <w:bCs/>
                        <w:color w:val="0000FF"/>
                        <w:sz w:val="20"/>
                        <w:szCs w:val="20"/>
                        <w:u w:val="single"/>
                      </w:rPr>
                      <w:t>Tyrosine 102 lockdown is crucial for substrate positioning and catalysis of factor inhibiting HIF (FIH-1)</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Factor inhibiting HIF (FIH-1) is an Fe(II)/alpha-ketoglutarate-dependent dioxygenase, whose enzyme mechanism involves tight coupling of the oxidative decarboxylation of alpha-KG to the hydroxylation of an asparagine residue in the substrate, hypoxia inducible factor alpha (HIF alpha). Here, we employ mutagenesis, steady state kinetics and structural studies to address the broad question of how substrate binding contributes to the overall reactivity of FIH-1. Based on initial molecular dynamics studies that identified a flexible loop region near the active site of FIH-1, we propose that this loop, we termed the 100s loop, influences its activity by transducing the signal from substrate binding to hydroxylation.</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Crystal structures of FIH-1 reveal that Tyr102 in the 100s loop adopts an alternate rotameric conformation upon substrate binding, which stacks it right on top of the substrate target Asn803 residue as if locking it in place. The side chain rotation is only seen when substrate is bound. Mutation of Tyr102 to Ala significantly impaired catalysis and substrate binding whereas the conservative mutant, Tyr102 to Phe, exhibited wild-type like activity, which indicates the importance of this stacking interaction on enzyme function. UV-visible and EPR spectroscopy demonstrate that the FIH-1 loop mutants are still able to activate oxygen and decarboxylate alpha-KG. However, we observed that the slow Tyr102 to Ala mutant uncouples alpha-KG decarboxylation from substrate hydroxylation as determined from quantitative succinate assays, which points to an unprecedented role in substrate positioning.</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Together, the data suggest that the 100s loop of FIH-1, particularly Tyr102, provides stacking interactions crucial for enzyme activity and that the signal from this steric interaction gets transduced to optimal hydroxylation by </w:t>
                  </w:r>
                  <w:r w:rsidRPr="0005639F">
                    <w:rPr>
                      <w:rFonts w:ascii="Times New Roman" w:eastAsia="Times New Roman" w:hAnsi="Times New Roman" w:cs="Times New Roman"/>
                      <w:sz w:val="20"/>
                      <w:szCs w:val="20"/>
                    </w:rPr>
                    <w:lastRenderedPageBreak/>
                    <w:t>ensuring that the target Asn803 residue is properly oriented to accept oxidant attack.</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2289031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Elizabeth R. Cleverdon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James Hougland</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 Syracuse University, Syracuse, NY, United States. </w:t>
                  </w:r>
                  <w:r w:rsidRPr="0005639F">
                    <w:rPr>
                      <w:rFonts w:ascii="Times New Roman" w:eastAsia="Times New Roman" w:hAnsi="Times New Roman" w:cs="Times New Roman"/>
                      <w:sz w:val="20"/>
                      <w:szCs w:val="20"/>
                    </w:rPr>
                    <w:br/>
                    <w:t xml:space="preserve">2. Syracuse University, Fayetteville,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3" w:anchor="2289031" w:history="1">
                    <w:r w:rsidRPr="0005639F">
                      <w:rPr>
                        <w:rFonts w:ascii="Times New Roman" w:eastAsia="Times New Roman" w:hAnsi="Times New Roman" w:cs="Times New Roman"/>
                        <w:color w:val="0000FF"/>
                        <w:sz w:val="20"/>
                        <w:szCs w:val="20"/>
                        <w:u w:val="single"/>
                      </w:rPr>
                      <w:t>Expression and Characterization of Human Proghrelin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Ghrelin is a 28 amino acid peptide hormone involved in appetite stimulation, maintenance of energy balance, and a range of other neuroendocrine functions. In the course of it’s expression and maturation, ghrelin undergoes a unique posttranslational modification whereby a serine side chains is esterified with octanoic acid. This octanoylation modification is important for ghrelin’s biological activity. With a variety of diseases are linked to ghrelin-dependent signaling, inhibition of ghrelin octanoylation presents a new target for therapeutic development. Biochemical and structural studies of the enzyme responsible for ghrelin octanoylation, ghrelin</w:t>
                  </w:r>
                  <w:r w:rsidRPr="0005639F">
                    <w:rPr>
                      <w:rFonts w:ascii="Times New Roman" w:eastAsia="Times New Roman" w:hAnsi="Times New Roman" w:cs="Times New Roman"/>
                      <w:i/>
                      <w:iCs/>
                      <w:sz w:val="20"/>
                      <w:szCs w:val="20"/>
                    </w:rPr>
                    <w:t xml:space="preserve"> O-</w:t>
                  </w:r>
                  <w:r w:rsidRPr="0005639F">
                    <w:rPr>
                      <w:rFonts w:ascii="Times New Roman" w:eastAsia="Times New Roman" w:hAnsi="Times New Roman" w:cs="Times New Roman"/>
                      <w:sz w:val="20"/>
                      <w:szCs w:val="20"/>
                    </w:rPr>
                    <w:t>acyltransferase (GOAT), have identified features required for recognition of ghrelin by GOAT, with many of these studies using small peptide mimetics of the N-terminal sequence of ghrelin. However, the impact of downstream elements in ghrelin and its 94 amino acid precursor proghrelin precursor remains to be fully defined. To investigate this, we have developed a bacterial expression system for producing recombinant human proghrelin. Purified human proghrelin will be characterized both structurally using NMR studies and functionally in reaction with human GOAT to determine the location and role of sequence elements within proghrelin in determining proper ghrelin processing and subsequent biological activity.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2289823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Ayman Huzair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Ryan Elnicki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Brandy M. Sreenilayam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&amp; BIochemistry, The College at Brockport, SUNY,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4" w:anchor="2289823" w:history="1">
                    <w:r w:rsidRPr="0005639F">
                      <w:rPr>
                        <w:rFonts w:ascii="Times New Roman" w:eastAsia="Times New Roman" w:hAnsi="Times New Roman" w:cs="Times New Roman"/>
                        <w:color w:val="0000FF"/>
                        <w:sz w:val="20"/>
                        <w:szCs w:val="20"/>
                        <w:u w:val="single"/>
                      </w:rPr>
                      <w:t>Optimizing chromatography conditions for the purification of LGN protein for X-ray crystallography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LGN protein is a critical component for the division of mammalian cells, as it functions in the maintenance of cell polarity and the alignment of mitotic spindles during mitosis. In order to optimize a purification scheme for LGN, the protein is first expressed in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xml:space="preserve">, and then is sonicated and centrifuged to respectively lyse and separate the soluble and nonsoluble components. The soluble lysate, which contains LGN, is </w:t>
                  </w:r>
                  <w:r w:rsidRPr="0005639F">
                    <w:rPr>
                      <w:rFonts w:ascii="Times New Roman" w:eastAsia="Times New Roman" w:hAnsi="Times New Roman" w:cs="Times New Roman"/>
                      <w:sz w:val="20"/>
                      <w:szCs w:val="20"/>
                    </w:rPr>
                    <w:lastRenderedPageBreak/>
                    <w:t>passed through chromatography columns and the LGN protein is assessed for purity using SDS-PAGE, followed by Western blotting to verify the presence of LGN. The goal of the purification scheme is to attain samples of LGN protein at least 95% pure in order for crystallization conditions to be determined and subsequently solve the structure of LGN by X-ray crystallography. Western blot detection has verified the expression of LGN and chromatography conditions are currently being optimized in order to obtain 95% pure LGN.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2291810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Soumyashree A. Gangopadhyay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James Hougland</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Syracuse, NY, United States. </w:t>
                  </w:r>
                  <w:r w:rsidRPr="0005639F">
                    <w:rPr>
                      <w:rFonts w:ascii="Times New Roman" w:eastAsia="Times New Roman" w:hAnsi="Times New Roman" w:cs="Times New Roman"/>
                      <w:sz w:val="20"/>
                      <w:szCs w:val="20"/>
                    </w:rPr>
                    <w:br/>
                    <w:t xml:space="preserve">2.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5" w:anchor="2291810" w:history="1">
                    <w:r w:rsidRPr="0005639F">
                      <w:rPr>
                        <w:rFonts w:ascii="Times New Roman" w:eastAsia="Times New Roman" w:hAnsi="Times New Roman" w:cs="Times New Roman"/>
                        <w:color w:val="0000FF"/>
                        <w:sz w:val="20"/>
                        <w:szCs w:val="20"/>
                        <w:u w:val="single"/>
                      </w:rPr>
                      <w:t>Development of a calibrated sensor for cellular geranylgeranyl transferase-I activity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Posttranslational modifications are essential for the biological function of many proteins. Prenylation is one such modification in which protein geranylgeranyltransferase type I (GGTase-I) or protein farnesyltransferase (FTase) modify their substrates by attachment of a 20- or 15- carbon isoprenoid moiety to a cysteine residue near the C-terminus of their substrates. These enzymes recognize their substrates based on the presence of a ‘Ca</w:t>
                  </w:r>
                  <w:r w:rsidRPr="0005639F">
                    <w:rPr>
                      <w:rFonts w:ascii="Times New Roman" w:eastAsia="Times New Roman" w:hAnsi="Times New Roman" w:cs="Times New Roman"/>
                      <w:sz w:val="20"/>
                      <w:szCs w:val="20"/>
                      <w:vertAlign w:val="subscript"/>
                    </w:rPr>
                    <w:t>1</w:t>
                  </w:r>
                  <w:r w:rsidRPr="0005639F">
                    <w:rPr>
                      <w:rFonts w:ascii="Times New Roman" w:eastAsia="Times New Roman" w:hAnsi="Times New Roman" w:cs="Times New Roman"/>
                      <w:sz w:val="20"/>
                      <w:szCs w:val="20"/>
                    </w:rPr>
                    <w:t>a</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X’ motif near the C- terminus where C denotes the cysteine residue that is prenylated and a</w:t>
                  </w:r>
                  <w:r w:rsidRPr="0005639F">
                    <w:rPr>
                      <w:rFonts w:ascii="Times New Roman" w:eastAsia="Times New Roman" w:hAnsi="Times New Roman" w:cs="Times New Roman"/>
                      <w:sz w:val="20"/>
                      <w:szCs w:val="20"/>
                      <w:vertAlign w:val="subscript"/>
                    </w:rPr>
                    <w:t>1</w:t>
                  </w:r>
                  <w:r w:rsidRPr="0005639F">
                    <w:rPr>
                      <w:rFonts w:ascii="Times New Roman" w:eastAsia="Times New Roman" w:hAnsi="Times New Roman" w:cs="Times New Roman"/>
                      <w:sz w:val="20"/>
                      <w:szCs w:val="20"/>
                    </w:rPr>
                    <w:t>, a</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and X act as substrate recognition elements for FTase and/or GGTase-I. Based on predictive algorithms and </w:t>
                  </w:r>
                  <w:r w:rsidRPr="0005639F">
                    <w:rPr>
                      <w:rFonts w:ascii="Times New Roman" w:eastAsia="Times New Roman" w:hAnsi="Times New Roman" w:cs="Times New Roman"/>
                      <w:i/>
                      <w:iCs/>
                      <w:sz w:val="20"/>
                      <w:szCs w:val="20"/>
                    </w:rPr>
                    <w:t>in vitro</w:t>
                  </w:r>
                  <w:r w:rsidRPr="0005639F">
                    <w:rPr>
                      <w:rFonts w:ascii="Times New Roman" w:eastAsia="Times New Roman" w:hAnsi="Times New Roman" w:cs="Times New Roman"/>
                      <w:sz w:val="20"/>
                      <w:szCs w:val="20"/>
                    </w:rPr>
                    <w:t xml:space="preserve"> peptide reactivities, many Ca</w:t>
                  </w:r>
                  <w:r w:rsidRPr="0005639F">
                    <w:rPr>
                      <w:rFonts w:ascii="Times New Roman" w:eastAsia="Times New Roman" w:hAnsi="Times New Roman" w:cs="Times New Roman"/>
                      <w:sz w:val="20"/>
                      <w:szCs w:val="20"/>
                      <w:vertAlign w:val="subscript"/>
                    </w:rPr>
                    <w:t>1</w:t>
                  </w:r>
                  <w:r w:rsidRPr="0005639F">
                    <w:rPr>
                      <w:rFonts w:ascii="Times New Roman" w:eastAsia="Times New Roman" w:hAnsi="Times New Roman" w:cs="Times New Roman"/>
                      <w:sz w:val="20"/>
                      <w:szCs w:val="20"/>
                    </w:rPr>
                    <w:t>a</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X sequences have been identified that can potentially serve as substrates for GGTase-I although the ability of these sequences to be geranylgeranylated under biologically relevant conditions is still unknown. Using a fluorescent reporter protein series that spans several orders of magnitude in GGTase-I reactivity, we have determined the minimum reactivity required for geranylgeranylation by GGTase-I inside an intact cell, the first step towards correlation between the </w:t>
                  </w:r>
                  <w:r w:rsidRPr="0005639F">
                    <w:rPr>
                      <w:rFonts w:ascii="Times New Roman" w:eastAsia="Times New Roman" w:hAnsi="Times New Roman" w:cs="Times New Roman"/>
                      <w:i/>
                      <w:iCs/>
                      <w:sz w:val="20"/>
                      <w:szCs w:val="20"/>
                    </w:rPr>
                    <w:t>in vitro</w:t>
                  </w:r>
                  <w:r w:rsidRPr="0005639F">
                    <w:rPr>
                      <w:rFonts w:ascii="Times New Roman" w:eastAsia="Times New Roman" w:hAnsi="Times New Roman" w:cs="Times New Roman"/>
                      <w:sz w:val="20"/>
                      <w:szCs w:val="20"/>
                    </w:rPr>
                    <w:t xml:space="preserve"> peptide reactivity and </w:t>
                  </w:r>
                  <w:r w:rsidRPr="0005639F">
                    <w:rPr>
                      <w:rFonts w:ascii="Times New Roman" w:eastAsia="Times New Roman" w:hAnsi="Times New Roman" w:cs="Times New Roman"/>
                      <w:i/>
                      <w:iCs/>
                      <w:sz w:val="20"/>
                      <w:szCs w:val="20"/>
                    </w:rPr>
                    <w:t>in vivo</w:t>
                  </w:r>
                  <w:r w:rsidRPr="0005639F">
                    <w:rPr>
                      <w:rFonts w:ascii="Times New Roman" w:eastAsia="Times New Roman" w:hAnsi="Times New Roman" w:cs="Times New Roman"/>
                      <w:sz w:val="20"/>
                      <w:szCs w:val="20"/>
                    </w:rPr>
                    <w:t xml:space="preserve"> geranylgeranylation. This calibrated GGTase-I sensor can also be used to monitor changes in GGTase-I activity in response to inhibitors or genetic mutations. Determination of the GGTase-I activity within the cell will help in identifying GGTase-I dependent pathways for therapeutic targeting.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2291835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Kelly L. Wormwood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Armand Gatien Ngounou Wetie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Laci Charette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Jeanne P. Ryan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Emmalyn J. Dupree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Alisa G. Woods</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Costel C. Darie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Biomolecular Science, Clarkson University, Potsdam, NY, United States. </w:t>
                  </w:r>
                  <w:r w:rsidRPr="0005639F">
                    <w:rPr>
                      <w:rFonts w:ascii="Times New Roman" w:eastAsia="Times New Roman" w:hAnsi="Times New Roman" w:cs="Times New Roman"/>
                      <w:sz w:val="20"/>
                      <w:szCs w:val="20"/>
                    </w:rPr>
                    <w:br/>
                    <w:t xml:space="preserve">2. Neuropsychology Clinic, SUNY Plattsburgh, Plattsburgh,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66" w:anchor="2291835" w:history="1">
                    <w:r w:rsidRPr="0005639F">
                      <w:rPr>
                        <w:rFonts w:ascii="Times New Roman" w:eastAsia="Times New Roman" w:hAnsi="Times New Roman" w:cs="Times New Roman"/>
                        <w:color w:val="0000FF"/>
                        <w:sz w:val="20"/>
                        <w:szCs w:val="20"/>
                        <w:u w:val="single"/>
                      </w:rPr>
                      <w:t>Mass Spectrometry-Based Protein Biomarker Discovery in Neurodevelopmental Disorders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Neurodevelopmental disorders are a group of disorders in which the development of the central nervous system is disturbed. These are very common with approximately 15% of children in the United States ages 3 to 17 being affected by at least one disorder. Examples include Autism Spectrum Disorder (ASD) and Smith-Lemli-Opitz Syndrome (SLOS). ASD affects approximately 1/63 children in the United States and is characterized by repetitive behaviors, communication deficits and impairments in social interactions. There is currently no biological diagnosis or known cause of ASD. SLOS is characterized by a cholesterol deficiency due to a mutation on the 7DHCR gene. Approximately 1/20,000 babies are born with SLOS. Diagnosis is achieved by measuring cholesterol and 7-dehydrocholesterol (7DHC) levels in the blood, however, there is currently no proven treatment for SLOS. Because of this, research is increasing to determine biomarkers for these disorders. Here, samples from people with ASD (sera and saliva) and SLOS (saliva), and matched controls were analyzed using a combination of gel electrophoresis (Tricine-PAGE, SDS-PAGE and Blue Native PAGE), in gel digestion or insolution digestion and nanoliquid chromatography-tandem mass spectrometry (nanolC-MS/MS) to investigate differences between the proteomes of people with these neurodevelopmental disorders and matched controls. Several alterations in protein expression were identified. These differences may lead to potential biomarkers for diagnosis, possible therapeutic targets and an altogether better understanding of the disorders.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2291836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Sagar Antala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Elizabeth Bafaro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Premnath Basa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Shawn Burdette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Robert Dempski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Worcester Polytechnic Institute, Worcester,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7" w:anchor="2291836" w:history="1">
                    <w:r w:rsidRPr="0005639F">
                      <w:rPr>
                        <w:rFonts w:ascii="Times New Roman" w:eastAsia="Times New Roman" w:hAnsi="Times New Roman" w:cs="Times New Roman"/>
                        <w:color w:val="0000FF"/>
                        <w:sz w:val="20"/>
                        <w:szCs w:val="20"/>
                        <w:u w:val="single"/>
                      </w:rPr>
                      <w:t>Elucidating the molecular mechanism of the human ZIP4 zinc transporter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concentration of cellular zinc is principally regulated by two families of membrane transport proteins; ZIP (for </w:t>
                  </w:r>
                  <w:r w:rsidRPr="0005639F">
                    <w:rPr>
                      <w:rFonts w:ascii="Times New Roman" w:eastAsia="Times New Roman" w:hAnsi="Times New Roman" w:cs="Times New Roman"/>
                      <w:i/>
                      <w:iCs/>
                      <w:sz w:val="20"/>
                      <w:szCs w:val="20"/>
                    </w:rPr>
                    <w:t>Z</w:t>
                  </w:r>
                  <w:r w:rsidRPr="0005639F">
                    <w:rPr>
                      <w:rFonts w:ascii="Times New Roman" w:eastAsia="Times New Roman" w:hAnsi="Times New Roman" w:cs="Times New Roman"/>
                      <w:sz w:val="20"/>
                      <w:szCs w:val="20"/>
                    </w:rPr>
                    <w:t xml:space="preserve">inc or </w:t>
                  </w:r>
                  <w:r w:rsidRPr="0005639F">
                    <w:rPr>
                      <w:rFonts w:ascii="Times New Roman" w:eastAsia="Times New Roman" w:hAnsi="Times New Roman" w:cs="Times New Roman"/>
                      <w:i/>
                      <w:iCs/>
                      <w:sz w:val="20"/>
                      <w:szCs w:val="20"/>
                    </w:rPr>
                    <w:t>I</w:t>
                  </w:r>
                  <w:r w:rsidRPr="0005639F">
                    <w:rPr>
                      <w:rFonts w:ascii="Times New Roman" w:eastAsia="Times New Roman" w:hAnsi="Times New Roman" w:cs="Times New Roman"/>
                      <w:sz w:val="20"/>
                      <w:szCs w:val="20"/>
                    </w:rPr>
                    <w:t xml:space="preserve">ron regulated </w:t>
                  </w:r>
                  <w:r w:rsidRPr="0005639F">
                    <w:rPr>
                      <w:rFonts w:ascii="Times New Roman" w:eastAsia="Times New Roman" w:hAnsi="Times New Roman" w:cs="Times New Roman"/>
                      <w:i/>
                      <w:iCs/>
                      <w:sz w:val="20"/>
                      <w:szCs w:val="20"/>
                    </w:rPr>
                    <w:t>P</w:t>
                  </w:r>
                  <w:r w:rsidRPr="0005639F">
                    <w:rPr>
                      <w:rFonts w:ascii="Times New Roman" w:eastAsia="Times New Roman" w:hAnsi="Times New Roman" w:cs="Times New Roman"/>
                      <w:sz w:val="20"/>
                      <w:szCs w:val="20"/>
                    </w:rPr>
                    <w:t>roteins) transporters function to increase the cytosolic zinc concentration while ZnT (</w:t>
                  </w:r>
                  <w:r w:rsidRPr="0005639F">
                    <w:rPr>
                      <w:rFonts w:ascii="Times New Roman" w:eastAsia="Times New Roman" w:hAnsi="Times New Roman" w:cs="Times New Roman"/>
                      <w:i/>
                      <w:iCs/>
                      <w:sz w:val="20"/>
                      <w:szCs w:val="20"/>
                    </w:rPr>
                    <w:t>Z</w:t>
                  </w:r>
                  <w:r w:rsidRPr="0005639F">
                    <w:rPr>
                      <w:rFonts w:ascii="Times New Roman" w:eastAsia="Times New Roman" w:hAnsi="Times New Roman" w:cs="Times New Roman"/>
                      <w:sz w:val="20"/>
                      <w:szCs w:val="20"/>
                    </w:rPr>
                    <w:t>i</w:t>
                  </w:r>
                  <w:r w:rsidRPr="0005639F">
                    <w:rPr>
                      <w:rFonts w:ascii="Times New Roman" w:eastAsia="Times New Roman" w:hAnsi="Times New Roman" w:cs="Times New Roman"/>
                      <w:i/>
                      <w:iCs/>
                      <w:sz w:val="20"/>
                      <w:szCs w:val="20"/>
                    </w:rPr>
                    <w:t>n</w:t>
                  </w:r>
                  <w:r w:rsidRPr="0005639F">
                    <w:rPr>
                      <w:rFonts w:ascii="Times New Roman" w:eastAsia="Times New Roman" w:hAnsi="Times New Roman" w:cs="Times New Roman"/>
                      <w:sz w:val="20"/>
                      <w:szCs w:val="20"/>
                    </w:rPr>
                    <w:t xml:space="preserve">c </w:t>
                  </w:r>
                  <w:r w:rsidRPr="0005639F">
                    <w:rPr>
                      <w:rFonts w:ascii="Times New Roman" w:eastAsia="Times New Roman" w:hAnsi="Times New Roman" w:cs="Times New Roman"/>
                      <w:i/>
                      <w:iCs/>
                      <w:sz w:val="20"/>
                      <w:szCs w:val="20"/>
                    </w:rPr>
                    <w:t>T</w:t>
                  </w:r>
                  <w:r w:rsidRPr="0005639F">
                    <w:rPr>
                      <w:rFonts w:ascii="Times New Roman" w:eastAsia="Times New Roman" w:hAnsi="Times New Roman" w:cs="Times New Roman"/>
                      <w:sz w:val="20"/>
                      <w:szCs w:val="20"/>
                    </w:rPr>
                    <w:t>ransporters) decrease the cytosolic concentration of zinc. ZIP and ZnT proteins are members of the So</w:t>
                  </w:r>
                  <w:r w:rsidRPr="0005639F">
                    <w:rPr>
                      <w:rFonts w:ascii="Times New Roman" w:eastAsia="Times New Roman" w:hAnsi="Times New Roman" w:cs="Times New Roman"/>
                      <w:i/>
                      <w:iCs/>
                      <w:sz w:val="20"/>
                      <w:szCs w:val="20"/>
                    </w:rPr>
                    <w:t>L</w:t>
                  </w:r>
                  <w:r w:rsidRPr="0005639F">
                    <w:rPr>
                      <w:rFonts w:ascii="Times New Roman" w:eastAsia="Times New Roman" w:hAnsi="Times New Roman" w:cs="Times New Roman"/>
                      <w:sz w:val="20"/>
                      <w:szCs w:val="20"/>
                    </w:rPr>
                    <w:t xml:space="preserve">ute </w:t>
                  </w:r>
                  <w:r w:rsidRPr="0005639F">
                    <w:rPr>
                      <w:rFonts w:ascii="Times New Roman" w:eastAsia="Times New Roman" w:hAnsi="Times New Roman" w:cs="Times New Roman"/>
                      <w:i/>
                      <w:iCs/>
                      <w:sz w:val="20"/>
                      <w:szCs w:val="20"/>
                    </w:rPr>
                    <w:t>C</w:t>
                  </w:r>
                  <w:r w:rsidRPr="0005639F">
                    <w:rPr>
                      <w:rFonts w:ascii="Times New Roman" w:eastAsia="Times New Roman" w:hAnsi="Times New Roman" w:cs="Times New Roman"/>
                      <w:sz w:val="20"/>
                      <w:szCs w:val="20"/>
                    </w:rPr>
                    <w:t xml:space="preserve">arrier (SLC) family of membrane transporters. Similar to other ZIP proteins, hZIP4 has eight transmembrane domains with a large extracellular N-terminus and a characteristic long intracellular loop between transmembrane (TM) III and TM-IV. To investigate the molecular mechanism of hZIP4, we have developed an </w:t>
                  </w:r>
                  <w:r w:rsidRPr="0005639F">
                    <w:rPr>
                      <w:rFonts w:ascii="Times New Roman" w:eastAsia="Times New Roman" w:hAnsi="Times New Roman" w:cs="Times New Roman"/>
                      <w:i/>
                      <w:iCs/>
                      <w:sz w:val="20"/>
                      <w:szCs w:val="20"/>
                    </w:rPr>
                    <w:t>in situ</w:t>
                  </w:r>
                  <w:r w:rsidRPr="0005639F">
                    <w:rPr>
                      <w:rFonts w:ascii="Times New Roman" w:eastAsia="Times New Roman" w:hAnsi="Times New Roman" w:cs="Times New Roman"/>
                      <w:sz w:val="20"/>
                      <w:szCs w:val="20"/>
                    </w:rPr>
                    <w:t xml:space="preserve"> radioisotope uptake assay to measure the hZIP4 mediated metal transport following heterologous expression in </w:t>
                  </w:r>
                  <w:r w:rsidRPr="0005639F">
                    <w:rPr>
                      <w:rFonts w:ascii="Times New Roman" w:eastAsia="Times New Roman" w:hAnsi="Times New Roman" w:cs="Times New Roman"/>
                      <w:i/>
                      <w:iCs/>
                      <w:sz w:val="20"/>
                      <w:szCs w:val="20"/>
                    </w:rPr>
                    <w:t>Xenopus laevis</w:t>
                  </w:r>
                  <w:r w:rsidRPr="0005639F">
                    <w:rPr>
                      <w:rFonts w:ascii="Times New Roman" w:eastAsia="Times New Roman" w:hAnsi="Times New Roman" w:cs="Times New Roman"/>
                      <w:sz w:val="20"/>
                      <w:szCs w:val="20"/>
                    </w:rPr>
                    <w:t xml:space="preserve"> oocytes. An analysis of our results indicates that hZIP4 can transport multiple transition metals such as zinc, copper, nickel and iron. Further, hZIP4 has at least two distinct apparent binding affinities for zinc transport while covalent labeling of histidine, but not cysteine, residues inhibits biomeal transport. In order to elucidate the zinc permeation pathway, we mutated each histidine residue present in the transmembrane domain. An analysis of our results suggests that transmembrane histidines of hZIP4 contribute to metal specificity and translocation. Equally, we have synthesized and utilized a new class of caged zinc compounds to examine the molecular mechanism of hZIP4 in a time-resolved manner.</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2291947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Pallavi Gosavi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Yurii Moroz</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Ivan V. Korendovych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Syracuse, NY, United States. </w:t>
                  </w:r>
                  <w:r w:rsidRPr="0005639F">
                    <w:rPr>
                      <w:rFonts w:ascii="Times New Roman" w:eastAsia="Times New Roman" w:hAnsi="Times New Roman" w:cs="Times New Roman"/>
                      <w:sz w:val="20"/>
                      <w:szCs w:val="20"/>
                    </w:rPr>
                    <w:br/>
                    <w:t xml:space="preserve">2. ChemBioCenter, Kyiv National Taras Shevchenko University, Kyiv, Ukraine.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8" w:anchor="2291947" w:history="1">
                    <w:r w:rsidRPr="0005639F">
                      <w:rPr>
                        <w:rFonts w:ascii="Times New Roman" w:eastAsia="Times New Roman" w:hAnsi="Times New Roman" w:cs="Times New Roman"/>
                        <w:b/>
                        <w:bCs/>
                        <w:color w:val="0000FF"/>
                        <w:sz w:val="20"/>
                        <w:szCs w:val="20"/>
                        <w:u w:val="single"/>
                      </w:rPr>
                      <w:t>β- (1-azulenyl)-L- alanine as a fluorescent probe for pKa determination of histidine residues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pK</w:t>
                  </w:r>
                  <w:r w:rsidRPr="0005639F">
                    <w:rPr>
                      <w:rFonts w:ascii="Times New Roman" w:eastAsia="Times New Roman" w:hAnsi="Times New Roman" w:cs="Times New Roman"/>
                      <w:sz w:val="20"/>
                      <w:szCs w:val="20"/>
                      <w:vertAlign w:val="subscript"/>
                    </w:rPr>
                    <w:t>a</w:t>
                  </w:r>
                  <w:r w:rsidRPr="0005639F">
                    <w:rPr>
                      <w:rFonts w:ascii="Times New Roman" w:eastAsia="Times New Roman" w:hAnsi="Times New Roman" w:cs="Times New Roman"/>
                      <w:sz w:val="20"/>
                      <w:szCs w:val="20"/>
                    </w:rPr>
                    <w:t xml:space="preserve"> values of the ionizable groups in a protein provide information about the net charge and in turn, the structure, function and stability of the protein. In this work, we have demonstrated a new approach for the determination of pK</w:t>
                  </w:r>
                  <w:r w:rsidRPr="0005639F">
                    <w:rPr>
                      <w:rFonts w:ascii="Times New Roman" w:eastAsia="Times New Roman" w:hAnsi="Times New Roman" w:cs="Times New Roman"/>
                      <w:sz w:val="20"/>
                      <w:szCs w:val="20"/>
                      <w:vertAlign w:val="subscript"/>
                    </w:rPr>
                    <w:t xml:space="preserve">a </w:t>
                  </w:r>
                  <w:r w:rsidRPr="0005639F">
                    <w:rPr>
                      <w:rFonts w:ascii="Times New Roman" w:eastAsia="Times New Roman" w:hAnsi="Times New Roman" w:cs="Times New Roman"/>
                      <w:sz w:val="20"/>
                      <w:szCs w:val="20"/>
                    </w:rPr>
                    <w:t>of histidine in ion channels. The method is based on the response of β- (1-azulenyl)-L- alanine (AzAla), a fluorescent pseudoisosteric analog of tryptophan, to the protonation state of histidine. We have successfully determined the two pK</w:t>
                  </w:r>
                  <w:r w:rsidRPr="0005639F">
                    <w:rPr>
                      <w:rFonts w:ascii="Times New Roman" w:eastAsia="Times New Roman" w:hAnsi="Times New Roman" w:cs="Times New Roman"/>
                      <w:sz w:val="20"/>
                      <w:szCs w:val="20"/>
                      <w:vertAlign w:val="subscript"/>
                    </w:rPr>
                    <w:t>a</w:t>
                  </w:r>
                  <w:r w:rsidRPr="0005639F">
                    <w:rPr>
                      <w:rFonts w:ascii="Times New Roman" w:eastAsia="Times New Roman" w:hAnsi="Times New Roman" w:cs="Times New Roman"/>
                      <w:sz w:val="20"/>
                      <w:szCs w:val="20"/>
                    </w:rPr>
                    <w:t xml:space="preserve"> values of histidine in influenza A virus M2 proton channel. Proteoliposomal assays illustrated that incorporation of AzAla into the M2 channel does not result in significant loss of function.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3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2291982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Kayleigh McGovern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Anthony Schramm</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Ariana Garagozza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James Hougland</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69" w:anchor="2291982" w:history="1">
                    <w:r w:rsidRPr="0005639F">
                      <w:rPr>
                        <w:rFonts w:ascii="Times New Roman" w:eastAsia="Times New Roman" w:hAnsi="Times New Roman" w:cs="Times New Roman"/>
                        <w:color w:val="0000FF"/>
                        <w:sz w:val="20"/>
                        <w:szCs w:val="20"/>
                        <w:u w:val="single"/>
                      </w:rPr>
                      <w:t xml:space="preserve">Investigating human ghrelin </w:t>
                    </w:r>
                    <w:r w:rsidRPr="0005639F">
                      <w:rPr>
                        <w:rFonts w:ascii="Times New Roman" w:eastAsia="Times New Roman" w:hAnsi="Times New Roman" w:cs="Times New Roman"/>
                        <w:i/>
                        <w:iCs/>
                        <w:color w:val="0000FF"/>
                        <w:sz w:val="20"/>
                        <w:szCs w:val="20"/>
                        <w:u w:val="single"/>
                      </w:rPr>
                      <w:t>O-</w:t>
                    </w:r>
                    <w:r w:rsidRPr="0005639F">
                      <w:rPr>
                        <w:rFonts w:ascii="Times New Roman" w:eastAsia="Times New Roman" w:hAnsi="Times New Roman" w:cs="Times New Roman"/>
                        <w:color w:val="0000FF"/>
                        <w:sz w:val="20"/>
                        <w:szCs w:val="20"/>
                        <w:u w:val="single"/>
                      </w:rPr>
                      <w:t>acyltransferase: Functional studies and inhibitor screening</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Ghrelin is a peptide hormone that is involved in a range of physiological processes including appetite stimulation, adiposity, glucose metabolism, and insulin signaling. Ghrelin features a unique octanoylation modification of its serine 3 residue which is necessary for its recognition by its receptor. This modification is catalyzed by the enzyme ghrelin O-acyltransferase (GOAT). As ghrelin is the only known substrate of GOAT, inhibition of GOAT presents an attractive target for the development of treatments for diseases related to abnormal ghrelin signaling, which include diabetes, obesity, and Prader-Willi syndrome. The active site and catalytic mechanism of GOAT are currently unknown, which complicates the rational design of inhibitors. To identify the location of the active site within GOAT, a series of single point mutations of human GOAT (hGOAT) has been developed and tested for activity to determine residues that are required for activity. These biochemical studies of hGOAT are complemented by a screen of a diverse library of small molecules to identify potential hGOAT inhibitors. Multiple compounds have demonstrated inhibition activity against hGOAT. These molecules will serve as lead compounds in the development of hGOAT inhibitors as potential therapeutics for diseases related to ghrelin signaling.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2292145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Devika Channaveerappa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Roshanak Aslebagh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Kathleen Arcaro</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Costel C. Darie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Biomolecular Science, Clarkson University, Potsdam, NY, United States. </w:t>
                  </w:r>
                  <w:r w:rsidRPr="0005639F">
                    <w:rPr>
                      <w:rFonts w:ascii="Times New Roman" w:eastAsia="Times New Roman" w:hAnsi="Times New Roman" w:cs="Times New Roman"/>
                      <w:sz w:val="20"/>
                      <w:szCs w:val="20"/>
                    </w:rPr>
                    <w:br/>
                    <w:t xml:space="preserve">2. Department of Veterinary &amp; Animal Sciences, University of Massachusetts, Amherst,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0" w:anchor="2292145" w:history="1">
                    <w:r w:rsidRPr="0005639F">
                      <w:rPr>
                        <w:rFonts w:ascii="Times New Roman" w:eastAsia="Times New Roman" w:hAnsi="Times New Roman" w:cs="Times New Roman"/>
                        <w:color w:val="0000FF"/>
                        <w:sz w:val="20"/>
                        <w:szCs w:val="20"/>
                        <w:u w:val="single"/>
                      </w:rPr>
                      <w:t>Proteomics study to identify the protein differences in human breast milk from breast cancer patients and controls using mass spectrometry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Breast cancer is the second leading cause of cancer death in women. About 12% women in the US develop breast cancer. Death rates due to breast cancer have been declined over the years due to advancements in mammography and treatment. Although, mammography helps in the early detection of breast cancer, it has few limitations. Dense breast tissue makes mammogram less accurate. Breast milk can be assessed to evaluate the risk of one getting breast cancer by comparing the proteomes of breast milk from healthy and breast cancer suffering individual. This study makes use of mass spectrometry based proteomics to identify the differences between the control and cancerous samples which would further help in identifying potential biomarkers for breast cancer. Firstly, SDS-PAGE was used to separate the proteins from the whole milk sample. The gel bands for each sample was then excised and cut into small pieces. The gel pieces were washed and trypsin digested in order to extract the peptides. Peptide mixtures in the solution were cleaned using C18 Zip-tipp and then analyzed by liquid chromatography-tandem mass spectrometry (LC- MS/MS). 60 minutes and 120 minutes gradient were used for LC-MS/MS analysis. Raw data obtained were converted to pkl files using ProteinLynx Global Served (PLGS version 2.4). Raw data were then submitted to Mascot database search for protein identification. The Mascot results were then exported as .dat files and further analyzed using Scaffold version 4.1 software. Three breast cancer milk samples were investigated against healthy control milk samples. In the SDS-PAGE gel, after Coomassie staining, the protein patterns did show minor differences. After LC-MS/MS analysis, the proteins identified by Mascot database search were imported into the Scaffold software and compared for the relative ratio between the proteins from the milk sampled from control donors and the donors with breast cancer. There were significant differences identified in the proteomes of the two sets of samples. Some of the proteins were upregulated in the breast cancer samples and some were down regulated when compared with the controls. Additional investigation of more breast milk samples is ongoing. This study focuses on identifying biomarkers directly in the milk of donors with breast cancer.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2292180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Kathryn Cole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Molecular Biology and Chemistry, Christopher Newport University, Newport News, VA,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71" w:anchor="2292180" w:history="1">
                    <w:r w:rsidRPr="0005639F">
                      <w:rPr>
                        <w:rFonts w:ascii="Times New Roman" w:eastAsia="Times New Roman" w:hAnsi="Times New Roman" w:cs="Times New Roman"/>
                        <w:color w:val="0000FF"/>
                        <w:sz w:val="20"/>
                        <w:szCs w:val="20"/>
                        <w:u w:val="single"/>
                      </w:rPr>
                      <w:t>Structure and Function of Polysaccharide Deacetylases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Polysaccharide deacetylases (PDs) are carbohydrate esterases that catalyze the deacetylation of acetylated sugars along the membranes of Gram-positive bacteria, allowing the bacteria to evade host immune systems. Inhibition of these enzymes will disrupt such bacterial defensive mechanisms, and offers a promising route for the development of new antibiotic therapeutics. To further advance the structural chemistry and biology of these enzymes, we are studying the structures and functions of two putative PDs from </w:t>
                  </w:r>
                  <w:r w:rsidRPr="0005639F">
                    <w:rPr>
                      <w:rFonts w:ascii="Times New Roman" w:eastAsia="Times New Roman" w:hAnsi="Times New Roman" w:cs="Times New Roman"/>
                      <w:i/>
                      <w:iCs/>
                      <w:sz w:val="20"/>
                      <w:szCs w:val="20"/>
                    </w:rPr>
                    <w:t xml:space="preserve">Bacillus </w:t>
                  </w:r>
                  <w:r w:rsidRPr="0005639F">
                    <w:rPr>
                      <w:rFonts w:ascii="Times New Roman" w:eastAsia="Times New Roman" w:hAnsi="Times New Roman" w:cs="Times New Roman"/>
                      <w:sz w:val="20"/>
                      <w:szCs w:val="20"/>
                    </w:rPr>
                    <w:t xml:space="preserve">bacteria- BA0150 from </w:t>
                  </w:r>
                  <w:r w:rsidRPr="0005639F">
                    <w:rPr>
                      <w:rFonts w:ascii="Times New Roman" w:eastAsia="Times New Roman" w:hAnsi="Times New Roman" w:cs="Times New Roman"/>
                      <w:i/>
                      <w:iCs/>
                      <w:sz w:val="20"/>
                      <w:szCs w:val="20"/>
                    </w:rPr>
                    <w:t>B. anthracis</w:t>
                  </w:r>
                  <w:r w:rsidRPr="0005639F">
                    <w:rPr>
                      <w:rFonts w:ascii="Times New Roman" w:eastAsia="Times New Roman" w:hAnsi="Times New Roman" w:cs="Times New Roman"/>
                      <w:sz w:val="20"/>
                      <w:szCs w:val="20"/>
                    </w:rPr>
                    <w:t xml:space="preserve"> and BC0361 from the close homolog </w:t>
                  </w:r>
                  <w:r w:rsidRPr="0005639F">
                    <w:rPr>
                      <w:rFonts w:ascii="Times New Roman" w:eastAsia="Times New Roman" w:hAnsi="Times New Roman" w:cs="Times New Roman"/>
                      <w:i/>
                      <w:iCs/>
                      <w:sz w:val="20"/>
                      <w:szCs w:val="20"/>
                    </w:rPr>
                    <w:t>B. cereus</w:t>
                  </w:r>
                  <w:r w:rsidRPr="0005639F">
                    <w:rPr>
                      <w:rFonts w:ascii="Times New Roman" w:eastAsia="Times New Roman" w:hAnsi="Times New Roman" w:cs="Times New Roman"/>
                      <w:sz w:val="20"/>
                      <w:szCs w:val="20"/>
                    </w:rPr>
                    <w:t>. Interestingly, BA0150 lacks a catalytic metal ion and the conserved metal-binding motif, and BC0361 shows some hydrolase activity with a pseudosubstrate. These results suggest that BA0150 and BC0361 may have different and/ or variable enzyme functions. As such, we are working to elucidate the mechanistic details of each enzyme to better inform the design and development of small molecule inhibitors.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2292302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Nan Thuzar Myint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Raghuvaran M. Iyer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Deborah J. Kerwood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Philip N. Borer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Univ,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2" w:anchor="2292302" w:history="1">
                    <w:r w:rsidRPr="0005639F">
                      <w:rPr>
                        <w:rFonts w:ascii="Times New Roman" w:eastAsia="Times New Roman" w:hAnsi="Times New Roman" w:cs="Times New Roman"/>
                        <w:color w:val="0000FF"/>
                        <w:sz w:val="20"/>
                        <w:szCs w:val="20"/>
                        <w:u w:val="single"/>
                      </w:rPr>
                      <w:t>Synthesis and characterization of an aptamer based DNA sensor for HIV-1 NCp7 recognition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 sensor containing a DNA aptamer is designed to bind to the HIV-1 NCp7 protein involved in RNA recognition and packaging. This sensor exhibits potential for anti-HIV drug discovery due to the high affinity (125 times) of NCp7-DNA aptamer complex compared to other segments. The switch consists of three unique DNA segments able to form individual hairpins, the probe (P), the cover (C) and the toggle (T), which join at a 3-way brancher. The probe contains an DNA aptamer to detect the presence of chosen target, which in our case is NCp7 protein. A fluorophore (Cy3) at the 5'-end of the toggle and a quencher (Dabcyl) at the 3'-end of the cover are attached to differentiate the two forms of switch (see figure). As the concentration of target increases, the switch will go to target-bound (OFF form), which has minimal fluorescence intensity. Alternatively, the switch will resume the target-free (ON form), which has the maximum fluorescence intensity, as a drug candidate binds to the target and releases the switch. In order to design an applicable switch, the equilibrium constant from ON to OFF state must be between 0.01-0.1 such that the novel switch will have T-hairpin and P:C duplex (ON) in the population of 90-99%. As there are uncertainties in the standard free energies applied to this system, we must experimentally verify that our predictions of K1 lead to proper behavior for the switch. In this poster, synthesis and characterization of putative switches to yield more than 90% purity and affinity of NCp7-swich complex will be described.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CONTROL ID: </w:t>
                  </w:r>
                  <w:r w:rsidRPr="0005639F">
                    <w:rPr>
                      <w:rFonts w:ascii="Times New Roman" w:eastAsia="Times New Roman" w:hAnsi="Times New Roman" w:cs="Times New Roman"/>
                      <w:sz w:val="20"/>
                      <w:szCs w:val="20"/>
                    </w:rPr>
                    <w:t>2292385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Yang Yang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Anuradha Krishnan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Jeffrey Viviano</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Venkat Venkataraman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Rowan University, Glassboro, NJ, United States. </w:t>
                  </w:r>
                  <w:r w:rsidRPr="0005639F">
                    <w:rPr>
                      <w:rFonts w:ascii="Times New Roman" w:eastAsia="Times New Roman" w:hAnsi="Times New Roman" w:cs="Times New Roman"/>
                      <w:sz w:val="20"/>
                      <w:szCs w:val="20"/>
                    </w:rPr>
                    <w:br/>
                    <w:t xml:space="preserve">2. Department of Cell Biology, Rowan School of Osteopathic Medicine, Stratford,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3" w:anchor="2292385" w:history="1">
                    <w:r w:rsidRPr="0005639F">
                      <w:rPr>
                        <w:rFonts w:ascii="Times New Roman" w:eastAsia="Times New Roman" w:hAnsi="Times New Roman" w:cs="Times New Roman"/>
                        <w:color w:val="0000FF"/>
                        <w:sz w:val="20"/>
                        <w:szCs w:val="20"/>
                        <w:u w:val="single"/>
                      </w:rPr>
                      <w:t>Unraveling the dynamics of the EF1 hand upon Ca</w:t>
                    </w:r>
                    <w:r w:rsidRPr="0005639F">
                      <w:rPr>
                        <w:rFonts w:ascii="Times New Roman" w:eastAsia="Times New Roman" w:hAnsi="Times New Roman" w:cs="Times New Roman"/>
                        <w:color w:val="0000FF"/>
                        <w:sz w:val="20"/>
                        <w:szCs w:val="20"/>
                        <w:u w:val="single"/>
                        <w:vertAlign w:val="superscript"/>
                      </w:rPr>
                      <w:t>2+</w:t>
                    </w:r>
                    <w:r w:rsidRPr="0005639F">
                      <w:rPr>
                        <w:rFonts w:ascii="Times New Roman" w:eastAsia="Times New Roman" w:hAnsi="Times New Roman" w:cs="Times New Roman"/>
                        <w:color w:val="0000FF"/>
                        <w:sz w:val="20"/>
                        <w:szCs w:val="20"/>
                        <w:u w:val="single"/>
                      </w:rPr>
                      <w:t xml:space="preserve"> binding in neurocalcin delta</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Neuronal calcium sensor (NCS) proteins comprise a family of related proteins that mediate signal transduction in response to calcium, primarily in neurons. Neurocalcin delta (NCALD) is a member of this family. Though NCALD, like other NCS proteins, has 4 EF-hand motifs that could potentially bind calcium, it has been demonstrated that the first EF hand, EF1, does not bind calcium. NCALD has been purified from the brain and the retina and is thought to play critical roles in signaling. However, the details of the calcium-dependent dynamics remain to be elucidated, despite the availability of its crystal structure. To probe the calcium-dependent changes, we carried out both experimental and computational analyses. The experimental investigations comprised of analyses of local conformational changes through tryptophan fluorescence, global conformational changes through mobility on native gels, and dimerization state through gel filtration chromatography. The wild-type as well as different mutant versions of the protein were used in these analyses. Meanwhile, </w:t>
                  </w:r>
                  <w:r w:rsidRPr="0005639F">
                    <w:rPr>
                      <w:rFonts w:ascii="Times New Roman" w:eastAsia="Times New Roman" w:hAnsi="Times New Roman" w:cs="Times New Roman"/>
                      <w:i/>
                      <w:iCs/>
                      <w:sz w:val="20"/>
                      <w:szCs w:val="20"/>
                    </w:rPr>
                    <w:t>atomistic</w:t>
                  </w:r>
                  <w:r w:rsidRPr="0005639F">
                    <w:rPr>
                      <w:rFonts w:ascii="Times New Roman" w:eastAsia="Times New Roman" w:hAnsi="Times New Roman" w:cs="Times New Roman"/>
                      <w:sz w:val="20"/>
                      <w:szCs w:val="20"/>
                    </w:rPr>
                    <w:t xml:space="preserve"> molecular dynamics (MD) simulations with the explicit solvent model were performed to explore the structure and dynamics of the NCALD monomer with and without Ca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ions. In this report, the joint results are presented to provide evidence to support a major role for EF1 hand (which does not bind calcium) in determining the response of the protein to calcium.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2292425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Sozanne Solmaz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Alok Sharma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Gunter Blobel</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Ivo Melcak</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State University of New York at Binghamton, Binghamton, NY, United States. </w:t>
                  </w:r>
                  <w:r w:rsidRPr="0005639F">
                    <w:rPr>
                      <w:rFonts w:ascii="Times New Roman" w:eastAsia="Times New Roman" w:hAnsi="Times New Roman" w:cs="Times New Roman"/>
                      <w:sz w:val="20"/>
                      <w:szCs w:val="20"/>
                    </w:rPr>
                    <w:br/>
                    <w:t xml:space="preserve">2. Howard Hughes Medical Institute,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4" w:anchor="2292425" w:history="1">
                    <w:r w:rsidRPr="0005639F">
                      <w:rPr>
                        <w:rFonts w:ascii="Times New Roman" w:eastAsia="Times New Roman" w:hAnsi="Times New Roman" w:cs="Times New Roman"/>
                        <w:b/>
                        <w:bCs/>
                        <w:color w:val="0000FF"/>
                        <w:sz w:val="20"/>
                        <w:szCs w:val="20"/>
                        <w:u w:val="single"/>
                      </w:rPr>
                      <w:t>On The Stoichiometry Of Channel Nucleoporins Nup62, Nup54 And Nup58: A Critical Appraisal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Of the 30 nucleoporins (nups) that make up the nuclear pore complex (NPC), three are centrally located: Nup62, Nup54 and Nup58. We recently pieced together the molecular architecture of the NPC transport channel from crystal structures of the binary complexes of Nup62•Nup54 and Nup54•Nup58 and proposed a novel mechanism for how the central channel of the NPC opens and closes by dilation and constriction of mid-plane rings (‘ring cycle’). Collectively, our crystal structures indicated a stoichiometry of 4:2:1 for Nup62, Nup54 and Nup58, respectively. However, solution studies of the three-protein complex had pointed towards its dynamic nature. In marked contrast, recent solution studies of structured regions of these three proteins suggested that they form a 1:1:1 ‘triple’ complex. To address this ambiguity, we carried out additional solution studies. We found that Nup62, Nup54 and Nup58 do not form a 1:1:1 complex, but instead associate with each other in unstable mixtures of various stoichiometric ratios. The polydisperse nature of the ternary complex was demonstrated either by multi-dimensional electrophoretic analysis or by size-exclusion chromatography coupled to multi-angle light scattering. Moreover, probing the ternary complex with wild-type or mutant Nup54 'protomers' yielded data that strongly support the interaction domains of the three channel nups that were established previously by crystallographic </w:t>
                  </w:r>
                  <w:r w:rsidRPr="0005639F">
                    <w:rPr>
                      <w:rFonts w:ascii="Times New Roman" w:eastAsia="Times New Roman" w:hAnsi="Times New Roman" w:cs="Times New Roman"/>
                      <w:sz w:val="20"/>
                      <w:szCs w:val="20"/>
                    </w:rPr>
                    <w:lastRenderedPageBreak/>
                    <w:t>methods. Specifically, we show that Nup58 interacts transiently with Nup54 in the assembled ternary complex, which is the basis for its observed heterogeneity. Our data support the 'ring cycle' model of nuclear transport, in which transient interactions between Nup58 and Nup54 would lead to transitions between dilated and constricted states of the transport channel. Specifically the transport of large cargo such as viruses, mRNPs and ribosomal subunits remains poorly understood, even though these processes impact crucial cellular functions, such as RNA metabolism. To this end, the ring cycle provides a molecular basis for how the NPC can facilitate selective transport of cargo with a size range of 10-50 nm. Furthermore, this study also addresses the widely discussed issue of the stoichiometry of the channel nups, providing a rationale for the different observations reported in the literature.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2212021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Morton Z. Hoffman</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Zafra M. Lerman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Boston University, Boston, MA, United States. </w:t>
                  </w:r>
                  <w:r w:rsidRPr="0005639F">
                    <w:rPr>
                      <w:rFonts w:ascii="Times New Roman" w:eastAsia="Times New Roman" w:hAnsi="Times New Roman" w:cs="Times New Roman"/>
                      <w:sz w:val="20"/>
                      <w:szCs w:val="20"/>
                    </w:rPr>
                    <w:br/>
                    <w:t xml:space="preserve">2. Malta Conferences Foundation, Washington, DC,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5" w:anchor="2212021" w:history="1">
                    <w:r w:rsidRPr="0005639F">
                      <w:rPr>
                        <w:rFonts w:ascii="Times New Roman" w:eastAsia="Times New Roman" w:hAnsi="Times New Roman" w:cs="Times New Roman"/>
                        <w:color w:val="0000FF"/>
                        <w:sz w:val="20"/>
                        <w:szCs w:val="20"/>
                        <w:u w:val="single"/>
                      </w:rPr>
                      <w:t>Facilitating chemistry education collaborations across borders and between cultures in the Middle East: The Malta Conferences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Conflicts among nations, as exemplified by the Middle East, have serious consequences to the entire world and place barriers to the free exchange of ideas, the establishment of collaborations, and the development of innovations in science, technology, and education. Science diplomacy, in the form of contacts among scientists from all sides of the international conflicts, could provide the bridges to peace that are important to everyone. The issues that involve science education are the same across national boundaries: increasing the interests of students to study science, utilizing technology and pedagogy for better teaching and learning, encouraging the education of women, and understanding the effects of cultural differences on education. Building on the fact that science is an international language, major international meetings known as the “Malta Conferences” (formally “</w:t>
                  </w:r>
                  <w:r w:rsidRPr="0005639F">
                    <w:rPr>
                      <w:rFonts w:ascii="Times New Roman" w:eastAsia="Times New Roman" w:hAnsi="Times New Roman" w:cs="Times New Roman"/>
                      <w:i/>
                      <w:iCs/>
                      <w:sz w:val="20"/>
                      <w:szCs w:val="20"/>
                    </w:rPr>
                    <w:t>Frontiers of Science: Research and Education in the Middle East - A Bridge to Peace</w:t>
                  </w:r>
                  <w:r w:rsidRPr="0005639F">
                    <w:rPr>
                      <w:rFonts w:ascii="Times New Roman" w:eastAsia="Times New Roman" w:hAnsi="Times New Roman" w:cs="Times New Roman"/>
                      <w:sz w:val="20"/>
                      <w:szCs w:val="20"/>
                    </w:rPr>
                    <w:t>”) have been held biennially since 2003, at which scientists and educators from Middle East nations gather with Nobel Laureates and other eminent individuals to discuss potential solutions to the problems of the region in the areas of environmental air and water quality, renewable energy sources, nanotechnology and material science, chemistry safety and security, and science education at all levels. Among the collaborations that originated at the Malta Conferences are efforts to improve drinking water quality and alleviate its scarcity, to foster graduate studies and faculty sabbaticals across the boundaries, and to develop electronic collaborations among science educators and students in the form of on-line periodicals and courses. It is hoped these collaborations will yield results that will be the cornerstones for future innovations and a bridge to peace.</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2213588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Kristin I. Gublo</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Oswego, Liverpool,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6" w:anchor="2213588" w:history="1">
                    <w:r w:rsidRPr="0005639F">
                      <w:rPr>
                        <w:rFonts w:ascii="Times New Roman" w:eastAsia="Times New Roman" w:hAnsi="Times New Roman" w:cs="Times New Roman"/>
                        <w:color w:val="0000FF"/>
                        <w:sz w:val="20"/>
                        <w:szCs w:val="20"/>
                        <w:u w:val="single"/>
                      </w:rPr>
                      <w:t>Implementation of a one credit chemical safety course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This session will discuss the proposal and implementation of a one credit chemical safety course for undergraduate science majors at SUNY Oswego. Some of the topics covered in this course include personal protective equipment, fire safety, corrosives, incompatibles, and chemical management. The course outline, syllabus and assessment tools will be provided. With more students performing independent research often unsupervised, the need for a formal lab safety course was apparent. Learn how to implement a course like this at your university.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2218598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Kamruz Zaman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Science, The Community College of Baltimore County, Essex,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7" w:anchor="2218598" w:history="1">
                    <w:r w:rsidRPr="0005639F">
                      <w:rPr>
                        <w:rFonts w:ascii="Times New Roman" w:eastAsia="Times New Roman" w:hAnsi="Times New Roman" w:cs="Times New Roman"/>
                        <w:color w:val="0000FF"/>
                        <w:sz w:val="20"/>
                        <w:szCs w:val="20"/>
                        <w:u w:val="single"/>
                      </w:rPr>
                      <w:t>Chemical Jokes facilitate learning of important chemistry concepts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It is accepted by most that a large number of students perceive chemistry as a boring and difficult discipline. Many students are of the opinion that they took chemistry only because chemistry was one of their program requirements, not realizing that it is one of the most important scientific disciplines. They do not understand the importance of chemistry. They attend chemistry classes because they have to do it. Some students lose their interest in chemistry after a few weeks into the semester irrespective of the greatness or otherwise of the instructor. The author of this presentation decided to motivate his students by sharing chemical jokes during lectures. For example, while explaining the idea of atoms the author made the students laugh by saying "do not trust the atoms, they make up everything". It also gave the students a clear message that all matter is made up of tiny particles called atoms. Chemical jokes have increased retention in his classes, and improved the overall performance of his students. In this presentation the author will share with the audiences some of the chemical jokes that were used by him during his lectures and that facilitated learning of difficult chemical concepts.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2250543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AUTHORS (FIRST NAME, LAST NAME): </w:t>
                  </w:r>
                  <w:r w:rsidRPr="0005639F">
                    <w:rPr>
                      <w:rFonts w:ascii="Times New Roman" w:eastAsia="Times New Roman" w:hAnsi="Times New Roman" w:cs="Times New Roman"/>
                      <w:sz w:val="20"/>
                      <w:szCs w:val="20"/>
                      <w:u w:val="single"/>
                    </w:rPr>
                    <w:t>Edward J. Brush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Bridgewater State University, Bridgewater,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8" w:anchor="2250543" w:history="1">
                    <w:r w:rsidRPr="0005639F">
                      <w:rPr>
                        <w:rFonts w:ascii="Times New Roman" w:eastAsia="Times New Roman" w:hAnsi="Times New Roman" w:cs="Times New Roman"/>
                        <w:color w:val="0000FF"/>
                        <w:sz w:val="20"/>
                        <w:szCs w:val="20"/>
                        <w:u w:val="single"/>
                      </w:rPr>
                      <w:t>Establishing regional student-faculty collaborations in green chemistry teaching, research and outreach education: Project GreenLab</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Project GreenLab initiative is focused on Green Chemistry teaching, research and outreach education, and is being developed and coordinated by faculty and students from Bridgewater State University (BSU). The overarching goal is to build regional professional expertise in green chemistry education, and a workforce trained and educated with the knowledge and skills to enter new career opportunities in green and sustainable chemistry. This presentation will provide an introduction to the GreenLab project, and discussion on our approach to engaging students and educators from BSU and community colleges, high schools and middle schools through: (1) community outreach education; (2) hands-on activities &amp; programs; (3) high school professional development; (4) research applying the 12 principles of green chemistry to solve problems; and (5) participatory action research with middle school students. Funding for Project GreenLab was provided by a BSU Presidential Fellowship award, the BSU Center for the Advancement of STEM Education, and an EPA P3 Phase I grant (SU835696).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4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2269651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Arunkumar K. Sharma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&amp; Physics, Wagner College, Staten Island,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79" w:anchor="2269651" w:history="1">
                    <w:r w:rsidRPr="0005639F">
                      <w:rPr>
                        <w:rFonts w:ascii="Times New Roman" w:eastAsia="Times New Roman" w:hAnsi="Times New Roman" w:cs="Times New Roman"/>
                        <w:color w:val="0000FF"/>
                        <w:sz w:val="20"/>
                        <w:szCs w:val="20"/>
                        <w:u w:val="single"/>
                      </w:rPr>
                      <w:t>A generalized approach to guided inquiry and discovery based experiments in General Chemistry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We present a guided inquiry, and discovery oriented approach to conduct experiments in the General Chemistry laboratory. This approach can be used to transform existing experiments in the curriculum to discovery experiments. In this approach, students are provided with a set of guiding questions, leading them to design, and implement an experimental investigation in response to a scientific question. This mirrors the process of scientific experimental design and research. The role of the instructor in this paradigm is to engage in discussions and enable students to design and implement the experiment. A solubility product determination experiment is typically carried out in the second semester General Chemistry curriculum. We present transformation of this experiment into a discovery and guided-inquiry experiment. Students discover the common ion effect from the experimental data and calculations. The empirical discovery of this phenomenon provides a crucial teachable moment. This approach can be generalized to create a template for construction of guided inquiry experiments. A work sheet with guiding questions is provided as a supporting document for easy integration into an existing curriculum. Our experience of implementing this approach, and lessons learned at a small liberal arts College will be shared. Since this approach can be used to convert existing experiments into discovery oriented experiments, there is no significant burden to the laboratory budget.</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2270019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Alexander Y. Nazarenko</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Buffalo State Coll, Buffalo,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0" w:anchor="2270019" w:history="1">
                    <w:r w:rsidRPr="0005639F">
                      <w:rPr>
                        <w:rFonts w:ascii="Times New Roman" w:eastAsia="Times New Roman" w:hAnsi="Times New Roman" w:cs="Times New Roman"/>
                        <w:color w:val="0000FF"/>
                        <w:sz w:val="20"/>
                        <w:szCs w:val="20"/>
                        <w:u w:val="single"/>
                      </w:rPr>
                      <w:t>From your crystal to structure in ten minutes: Contemporary instruments transform undergraduate laboratory</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No, it is not an exaggeration: it can take as little as ten minutes from the time you pick up a crystal from the microscope slide till you see on your display a correct molecular structure with all atoms appropriately positioned. Contemporary in-house X-ray diffractometer enables to collect enough data in 2-4 minutes time for reliable molecular structure with 0.9 -1 Å resolution. Very user-friendly and simple GUI of modern crystallographic software makes it possible to process all raw data in 1-2 minutes and solve and refine the structure in one more minute with very little user involvement ( and yes, you need a professional for this involvement). With this approach, X-ray diffractometer becomes one of many tools in a chemical laboratory, in many aspects much simpler for an unexperienced (but strictly supervised!) user than NMR or even UV-vis spectroscopy. This methodology opens the doors for an attractive possibility: to show the beginners where the chemical structures are coming from - from the experimental data! A great number of chemicals in your lab (or in your grocery store) contain crystals directly suitable for such experiment: glucose hydrate (Sweet’n Low), sucralose, taurine (from energy drinks), saccharine, potassium hydrogen phthalate (KHP), to name the very few.</w:t>
                  </w:r>
                  <w:r w:rsidRPr="0005639F">
                    <w:rPr>
                      <w:rFonts w:ascii="Times New Roman" w:eastAsia="Times New Roman" w:hAnsi="Times New Roman" w:cs="Times New Roman"/>
                      <w:sz w:val="20"/>
                      <w:szCs w:val="20"/>
                    </w:rPr>
                    <w:br/>
                    <w:t>In advanced classes, crystallographic data can be naturally combined with results coming from spectroscopic techniques such as Raman, IR, NMR, XRF, and mass-spectroscopy. Thermogravimetric analysis and Karl Fischer titration are also available for solvent assay.</w:t>
                  </w:r>
                  <w:r w:rsidRPr="0005639F">
                    <w:rPr>
                      <w:rFonts w:ascii="Times New Roman" w:eastAsia="Times New Roman" w:hAnsi="Times New Roman" w:cs="Times New Roman"/>
                      <w:sz w:val="20"/>
                      <w:szCs w:val="20"/>
                    </w:rPr>
                    <w:br/>
                    <w:t>Several real-world examples will demonstrate application of our approach to General Chemistry, Forensic Chemistry and Art Conservation undergraduate and graduate programs at SUNY Buffalo State. Financial support for this project from SUNY IITG-2012 and IITG-2013 is gratefully appreciated. Our special thanks to Dr. Bruce Noll and Dr. Milan Gembicky (Bruker AXS Inc.) for their continuous support of our activities in crystallography education.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2274747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Keith A. Baessler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Suffolk County Community College, Brentwood,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1" w:anchor="2274747" w:history="1">
                    <w:r w:rsidRPr="0005639F">
                      <w:rPr>
                        <w:rFonts w:ascii="Times New Roman" w:eastAsia="Times New Roman" w:hAnsi="Times New Roman" w:cs="Times New Roman"/>
                        <w:b/>
                        <w:bCs/>
                        <w:color w:val="0000FF"/>
                        <w:sz w:val="20"/>
                        <w:szCs w:val="20"/>
                        <w:u w:val="single"/>
                      </w:rPr>
                      <w:t>Meeting General Education Competencies in the Chemistry Lab with Lab-Simulation Technology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Computer-based technology and education are deeply intertwined. Lab-simulation technology is currently being used to meet general education competencies such as:</w:t>
                  </w:r>
                  <w:r w:rsidRPr="0005639F">
                    <w:rPr>
                      <w:rFonts w:ascii="Times New Roman" w:eastAsia="Times New Roman" w:hAnsi="Times New Roman" w:cs="Times New Roman"/>
                      <w:sz w:val="20"/>
                      <w:szCs w:val="20"/>
                    </w:rPr>
                    <w:br/>
                    <w:t>&gt;Information Technology Competency</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lastRenderedPageBreak/>
                    <w:t>&gt;Scientific Reasoning</w:t>
                  </w:r>
                  <w:r w:rsidRPr="0005639F">
                    <w:rPr>
                      <w:rFonts w:ascii="Times New Roman" w:eastAsia="Times New Roman" w:hAnsi="Times New Roman" w:cs="Times New Roman"/>
                      <w:sz w:val="20"/>
                      <w:szCs w:val="20"/>
                    </w:rPr>
                    <w:br/>
                    <w:t>&gt;Critical Thinking Skills</w:t>
                  </w:r>
                  <w:r w:rsidRPr="0005639F">
                    <w:rPr>
                      <w:rFonts w:ascii="Times New Roman" w:eastAsia="Times New Roman" w:hAnsi="Times New Roman" w:cs="Times New Roman"/>
                      <w:sz w:val="20"/>
                      <w:szCs w:val="20"/>
                    </w:rPr>
                    <w:br/>
                    <w:t>&gt;Problem solving</w:t>
                  </w:r>
                  <w:r w:rsidRPr="0005639F">
                    <w:rPr>
                      <w:rFonts w:ascii="Times New Roman" w:eastAsia="Times New Roman" w:hAnsi="Times New Roman" w:cs="Times New Roman"/>
                      <w:sz w:val="20"/>
                      <w:szCs w:val="20"/>
                    </w:rPr>
                    <w:br/>
                    <w:t>This workshop will provide you with an overview of the LateNiteLabs lab-simulation platform and how it is currently being used to enhance both the teaching and learning environments in a general chemistry course. How general education competencies are met and, assessed will be described.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2277692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Swarna M. Basu</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Susquehanna Univ, Selinsgrove,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2" w:anchor="2277692" w:history="1">
                    <w:r w:rsidRPr="0005639F">
                      <w:rPr>
                        <w:rFonts w:ascii="Times New Roman" w:eastAsia="Times New Roman" w:hAnsi="Times New Roman" w:cs="Times New Roman"/>
                        <w:b/>
                        <w:bCs/>
                        <w:color w:val="0000FF"/>
                        <w:sz w:val="20"/>
                        <w:szCs w:val="20"/>
                        <w:u w:val="single"/>
                      </w:rPr>
                      <w:t>Gaussian-based Laboratory Exercises in Physical Chemistry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laboratory component of the second-semester Physical Chemistry course at Susquehanna University incorporates a significant computational component. Four of the seven multi-week laboratory exercises are computational in nature. Students use the Gaussian program and Gaussview to calculate molecular properties and visualize concepts they are concurrently learning in lecture. Experiments include calculation of vibrational and rotational parameters based on the harmonic oscillator and rigid rotor models, respectively, visualization of bond vibrations and use of calculated spectra to assign experimentally-obtained infrared and Raman spectra, electronic spectroscopy and molecular orbital theory. Students learn the fundamentals of computational methods and basis sets, learn how to operate the program and extract results from both the visual interface and output (text) files. These exercises have helped students understand molecular properties that are difficult to obtain using experimental methods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I was originally supposed to present this at the Denver National Meeting but had to cancel due to family reasons. Therefore, I am submitting the same abstract to NERM 2015.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2279063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Daniel P. Brennan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Alison M. Sheridan-Brennan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Broome Community College, Binghamton,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3" w:anchor="2279063" w:history="1">
                    <w:r w:rsidRPr="0005639F">
                      <w:rPr>
                        <w:rFonts w:ascii="Times New Roman" w:eastAsia="Times New Roman" w:hAnsi="Times New Roman" w:cs="Times New Roman"/>
                        <w:color w:val="0000FF"/>
                        <w:sz w:val="20"/>
                        <w:szCs w:val="20"/>
                        <w:u w:val="single"/>
                      </w:rPr>
                      <w:t>Get the Lead Out: Updating Laboratory Exercises to Align With Current Environmental and Educational Best Practices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Despite chemistry’s frequent designation as the “science of change”, educational inertia can sometimes prevent practitioners from embracing change when it comes to aligning the ways we teach with the current </w:t>
                  </w:r>
                  <w:r w:rsidRPr="0005639F">
                    <w:rPr>
                      <w:rFonts w:ascii="Times New Roman" w:eastAsia="Times New Roman" w:hAnsi="Times New Roman" w:cs="Times New Roman"/>
                      <w:sz w:val="20"/>
                      <w:szCs w:val="20"/>
                    </w:rPr>
                    <w:lastRenderedPageBreak/>
                    <w:t>understanding of how today’s students learn chemistry. In particular, faculty can become complacent with laboratory exercises that have given many years of comfortable procedures and predictable results. For this reason, it can be a daunting task to attempt laboratory revisions and a special challenge to convince certain faculty that laboratory exercises in use for decades are in need of revision in the first place. After all, radical revision of lab activities is a time consuming enterprise on the part of those taking on the endeavor. Likewise, without adequate acceptance by lab instructors, the perceived failure of a new activity by resistant faculty can sometimes be attributable more to the lack of enthusiasm for the activity by these same instructors than to any particular shortcoming in the exercise itself. In this presentation, the authors will share their experiences with writing and field testing new, pedagogically sound activities based on discrepant events to replace selected “tried-and-true” laboratory activities in an effort to mitigate environmental hazards and remove known teratogens from the General Chemistry laboratory sequence.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2280354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Melissa A. Vanalstine-Parris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Adelphi University, Garden City,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4" w:anchor="2280354" w:history="1">
                    <w:r w:rsidRPr="0005639F">
                      <w:rPr>
                        <w:rFonts w:ascii="Times New Roman" w:eastAsia="Times New Roman" w:hAnsi="Times New Roman" w:cs="Times New Roman"/>
                        <w:b/>
                        <w:bCs/>
                        <w:color w:val="0000FF"/>
                        <w:sz w:val="20"/>
                        <w:szCs w:val="20"/>
                        <w:u w:val="single"/>
                      </w:rPr>
                      <w:t>Building a supportive chemistry community through a seminar series that approaches university learning goals through discipline specific activities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Our chemistry seminar builds a departmental community of faculty and majors of all years while developing students’ professional skills. This multi-semester sequence provides an opportunity for students to develop information literacy, oral communication, and written communication in their chosen field. This student-centered course is a progressive sequence with the goal of better preparing our students for their future education and career. The sequence begins by introducing the freshman to the department and the research that is being conducted. In the second year, students read scientific journal articles and ask basic questions. By the junior year all students are in a research group so they write a research proposal and present a poster on their proposed research. In the fall semester the seniors each present a scientific journal article and field questions from the students and faculty. In the spring semester the seniors present their research in the form of a poster and oral presentation. Through a gradual increase in the role students take in the course, the goal is for students to build confidence and improve their communication skills. By the end of the sequence students are bursting with thoughtful questions after a presentation. This seminar integrates our faculty with majors of all years building a departmental community. Through the connections made in this course we have improved our retention, students’ attitude and professional skills. The progression of this course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2286466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Kelley Donaghy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Allison L. Milano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Zachary R. Dunbar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ESF, La Fayette,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5" w:anchor="2286466" w:history="1">
                    <w:r w:rsidRPr="0005639F">
                      <w:rPr>
                        <w:rFonts w:ascii="Times New Roman" w:eastAsia="Times New Roman" w:hAnsi="Times New Roman" w:cs="Times New Roman"/>
                        <w:color w:val="0000FF"/>
                        <w:sz w:val="20"/>
                        <w:szCs w:val="20"/>
                        <w:u w:val="single"/>
                      </w:rPr>
                      <w:t>Teaching inorganic chemistry through art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isolation of metals from their ores and the binary metal reactions they undergo are often difficult to emulate in a teaching laboratory setting. Using art as a medium for investigating such reactions, two new laboratories were developed to probe the chemistry behind these reactions. The first is the isolation of metal from its ores. To do this metal nanoparticles are made from the reduction of leftover silver nitrate solutions and sodium borohydride. These nanoparticles, characterized by Scanning Electron Microscopy (SEM) are then combined with a polymer base material to create a clay which is then shaped into a jewelry piece. The clay is dried for several days, baked in a kiln to burn off the polymer and sintered to form high strength silver metal. The starting material for this can also be the new art material called polymer metal clay that is manufactured form waste materials from the electronics industry. The second laboratory that will be discussed are high temperature reactions that produce interesting chemical reactions when glasses containing copper or lead are fused to glass containing sulfur. Binary chemical reactions take place to form lead and/or copper sulfides. Characterization of the glass and the reaction products are carried out through X-ray Fluorescence (XRF) and Inductively Coupled Plasma Mass Spectrometry (ICP-MS) The chemistry of polymer clay and reactive glass fusing will be discussed along with both laboratory’s student learning outcomes.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If there is room in the invited Chemistry and Art Symposium, I'd like to be considered for that session.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2287328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Jodie T. Fahey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Annie E. Dineen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Division of Natural Sciences, Mount Saint Mary College, Highland, NY, United States. </w:t>
                  </w:r>
                  <w:r w:rsidRPr="0005639F">
                    <w:rPr>
                      <w:rFonts w:ascii="Times New Roman" w:eastAsia="Times New Roman" w:hAnsi="Times New Roman" w:cs="Times New Roman"/>
                      <w:sz w:val="20"/>
                      <w:szCs w:val="20"/>
                    </w:rPr>
                    <w:br/>
                    <w:t xml:space="preserve">2. Division of Natural Sciences, Mount Saint Mary College , Newburgh,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6" w:anchor="2287328" w:history="1">
                    <w:r w:rsidRPr="0005639F">
                      <w:rPr>
                        <w:rFonts w:ascii="Times New Roman" w:eastAsia="Times New Roman" w:hAnsi="Times New Roman" w:cs="Times New Roman"/>
                        <w:color w:val="0000FF"/>
                        <w:sz w:val="20"/>
                        <w:szCs w:val="20"/>
                        <w:u w:val="single"/>
                      </w:rPr>
                      <w:t>Microwave-Assisted Aspirin Synthesis from Over-the-Counter Pain Creams Using Naturally Acidic Catalysts: A Green Undergraduate Organic Chemistry Laboratory Experiment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synthesis of aspirin using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SO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or H</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PO</w:t>
                  </w:r>
                  <w:r w:rsidRPr="0005639F">
                    <w:rPr>
                      <w:rFonts w:ascii="Times New Roman" w:eastAsia="Times New Roman" w:hAnsi="Times New Roman" w:cs="Times New Roman"/>
                      <w:sz w:val="20"/>
                      <w:szCs w:val="20"/>
                      <w:vertAlign w:val="subscript"/>
                    </w:rPr>
                    <w:t xml:space="preserve">4 </w:t>
                  </w:r>
                  <w:r w:rsidRPr="0005639F">
                    <w:rPr>
                      <w:rFonts w:ascii="Times New Roman" w:eastAsia="Times New Roman" w:hAnsi="Times New Roman" w:cs="Times New Roman"/>
                      <w:sz w:val="20"/>
                      <w:szCs w:val="20"/>
                    </w:rPr>
                    <w:t>is a common undergraduate organic laboratory experiment. Replacing these potentially harmful, strong acids with naturally acidic soft drinks or fruit juices demonstrates the use of green chemistry guidelines to undergraduate students. Isolation of methyl salicylate from over-the-counter pain creams, and subsequent conversion to aspirin was explored. Salicylic acid, obtained via hydrolysis of the methyl salicylate, was converted to aspirin using soft drinks or fruit juices as catalysts in a microwave synthesis. Average yields were 55%, but individual yields depended on the soft drink/juice used as a catalyst. The successful synthesis was tested with first semester undergraduate organic chemistry students as a multi-week experiment. Results are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2290338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Stefan L. Debbert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David J. Hall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Lawrence University, Appleton, WI,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7" w:anchor="2290338" w:history="1">
                    <w:r w:rsidRPr="0005639F">
                      <w:rPr>
                        <w:rFonts w:ascii="Times New Roman" w:eastAsia="Times New Roman" w:hAnsi="Times New Roman" w:cs="Times New Roman"/>
                        <w:color w:val="0000FF"/>
                        <w:sz w:val="20"/>
                        <w:szCs w:val="20"/>
                        <w:u w:val="single"/>
                      </w:rPr>
                      <w:t>Open source malaria drug development in the undergraduate organic chemistry and biochemistry laboratories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Research and research-like experiences have been shown to be highly effective parts of an undergraduate chemistry curriculum. At Lawrence University, we have developed laboratory exercises that link our organic chemistry and biochemistry laboratory classes with the Open Source Malaria (OSM) Project, a international collaboration among chemists, biologists and other stakeholders to develop new drugs effective against malaria. Students in our second organic chemistry class plan and execute the 2-3 step synthesis of molecules requested by other OSM contributors. All experimental and spectroscopic data is obtained in electronic form for later posting to the OSM website, to be viewed by all. Our biochemistry class then assays the compounds synthesized for, e.g., cytotoxicity and antiinflammatory potential; in many cases, our biochemistry students are assaying the drugs that they themselves synthesized. Well-prepared and well-characterized samples are then sent to OSM collaborators for antimalarial testing. Here, the challenges and rewards presented by this endeavor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2292248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Rebecca M. Kissling</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Binghamton University, Binghamton,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8" w:anchor="2292248" w:history="1">
                    <w:r w:rsidRPr="0005639F">
                      <w:rPr>
                        <w:rFonts w:ascii="Times New Roman" w:eastAsia="Times New Roman" w:hAnsi="Times New Roman" w:cs="Times New Roman"/>
                        <w:color w:val="0000FF"/>
                        <w:sz w:val="20"/>
                        <w:szCs w:val="20"/>
                        <w:u w:val="single"/>
                      </w:rPr>
                      <w:t>Undergraduate teaching assistants as part of the teaching-service model in large introductory organic chemistry courses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Organic chemistry is full of hard-learned lessons which can be central to a student's success in the course and in future courses in chemistry and biochemistry. Utilizing undergraduate teaching assistants during active learning recitation provides an avenue for recent students to share their insights with current students. The near-peer recitation relationship gives current students an opportunity to converse about 'concept-sticking-points' of organic chemistry with less intimidation. It also provides former students, many of whom are chemistry and biochemistry majors, with the opportunity to assess what they 'know' about different areas and what they understand.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If an oral slot is not available, poster is fine.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5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2248457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Alla Bailey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Xinyun Li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Marc Toro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Brenda Mastrangelo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Gerald A. Takacs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Rochester Inst of Techlgy,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89" w:anchor="2248457" w:history="1">
                    <w:r w:rsidRPr="0005639F">
                      <w:rPr>
                        <w:rFonts w:ascii="Times New Roman" w:eastAsia="Times New Roman" w:hAnsi="Times New Roman" w:cs="Times New Roman"/>
                        <w:color w:val="0000FF"/>
                        <w:sz w:val="20"/>
                        <w:szCs w:val="20"/>
                        <w:u w:val="single"/>
                      </w:rPr>
                      <w:t>Educational experience: Training high school teachers in the field of “Clean energy: Hydrogen/fuel cells”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Meeting energy needs in a sustainable and environmentally responsible way is currently a major global challenge. The purpose of this educational project was to prepare high school teachers to understand the sources of clean and renewable energy, issue of Global Warming, and fuel cells application for electricity generation using hydrogen as an incredible fuel and clean energy carrier. The program included: (1) designing and offering a lecture/training course during four Saturdays for high school Chemistry and Earth Science teachers in order to help them teach material associated with "Clean Energy/Hydrogen/Fuel Cells"; (2) assisting the teachers with incorporating the educational material as a unit into their high school program; and (3) designing and organizing two lab experiments in "Hydrogen-Oxygen Fuel Cell Construction", and "Measuring the Amount of Hydrogen Stored in Chemical Compounds and Using the Hydrogen for Electricity Generation with Fuel Cells". The lecture/training course also included: Green House Effect, Hydrogen Properties, Production and Storage of Hydrogen, Hydrogen Infrastructure, Fundamentals of Electrochemistry, Batteries, and Fuel Cell Applications. A Summer Camp for 9 - 12 grade students entitled: “The Science of Fuel Cells” is scheduled during Summer, 2015.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2258581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Ian Rhile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Albright College, Reading,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0" w:anchor="2258581" w:history="1">
                    <w:r w:rsidRPr="0005639F">
                      <w:rPr>
                        <w:rFonts w:ascii="Times New Roman" w:eastAsia="Times New Roman" w:hAnsi="Times New Roman" w:cs="Times New Roman"/>
                        <w:color w:val="0000FF"/>
                        <w:sz w:val="20"/>
                        <w:szCs w:val="20"/>
                        <w:u w:val="single"/>
                      </w:rPr>
                      <w:t>Parametric equations and images for a large set of hydrogen atomic orbitals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Described are new and extended sets of parametric equations that allow for the generation of images of isosurfaces and contour lines for a large set of hydrogen atomic orbitals. Three sets of parametric equations were used: 1) A new set of parametric equations were used for 2s, 2p, 3d, 4f, and 5g orbitals. This set uses the Lambert W function, and is the first set of parametric equations for the 4f and 5g orbital isosurfaces. 2) A new set of parametric equations were used for d</w:t>
                  </w:r>
                  <w:r w:rsidRPr="0005639F">
                    <w:rPr>
                      <w:rFonts w:ascii="Times New Roman" w:eastAsia="Times New Roman" w:hAnsi="Times New Roman" w:cs="Times New Roman"/>
                      <w:sz w:val="20"/>
                      <w:szCs w:val="20"/>
                      <w:vertAlign w:val="subscript"/>
                    </w:rPr>
                    <w:t>xy</w:t>
                  </w:r>
                  <w:r w:rsidRPr="0005639F">
                    <w:rPr>
                      <w:rFonts w:ascii="Times New Roman" w:eastAsia="Times New Roman" w:hAnsi="Times New Roman" w:cs="Times New Roman"/>
                      <w:sz w:val="20"/>
                      <w:szCs w:val="20"/>
                    </w:rPr>
                    <w:t>, d</w:t>
                  </w:r>
                  <w:r w:rsidRPr="0005639F">
                    <w:rPr>
                      <w:rFonts w:ascii="Times New Roman" w:eastAsia="Times New Roman" w:hAnsi="Times New Roman" w:cs="Times New Roman"/>
                      <w:sz w:val="20"/>
                      <w:szCs w:val="20"/>
                      <w:vertAlign w:val="subscript"/>
                    </w:rPr>
                    <w:t>yz</w:t>
                  </w:r>
                  <w:r w:rsidRPr="0005639F">
                    <w:rPr>
                      <w:rFonts w:ascii="Times New Roman" w:eastAsia="Times New Roman" w:hAnsi="Times New Roman" w:cs="Times New Roman"/>
                      <w:sz w:val="20"/>
                      <w:szCs w:val="20"/>
                    </w:rPr>
                    <w:t>, d</w:t>
                  </w:r>
                  <w:r w:rsidRPr="0005639F">
                    <w:rPr>
                      <w:rFonts w:ascii="Times New Roman" w:eastAsia="Times New Roman" w:hAnsi="Times New Roman" w:cs="Times New Roman"/>
                      <w:sz w:val="20"/>
                      <w:szCs w:val="20"/>
                      <w:vertAlign w:val="subscript"/>
                    </w:rPr>
                    <w:t>xz</w:t>
                  </w:r>
                  <w:r w:rsidRPr="0005639F">
                    <w:rPr>
                      <w:rFonts w:ascii="Times New Roman" w:eastAsia="Times New Roman" w:hAnsi="Times New Roman" w:cs="Times New Roman"/>
                      <w:sz w:val="20"/>
                      <w:szCs w:val="20"/>
                    </w:rPr>
                    <w:t>, and d</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2</w:t>
                  </w:r>
                  <w:r w:rsidRPr="0005639F">
                    <w:rPr>
                      <w:rFonts w:ascii="Times New Roman" w:eastAsia="Times New Roman" w:hAnsi="Times New Roman" w:cs="Times New Roman"/>
                      <w:sz w:val="20"/>
                      <w:szCs w:val="20"/>
                      <w:vertAlign w:val="subscript"/>
                    </w:rPr>
                    <w:t>-y</w:t>
                  </w:r>
                  <w:r w:rsidRPr="0005639F">
                    <w:rPr>
                      <w:rFonts w:ascii="Times New Roman" w:eastAsia="Times New Roman" w:hAnsi="Times New Roman" w:cs="Times New Roman"/>
                      <w:sz w:val="20"/>
                      <w:szCs w:val="20"/>
                    </w:rPr>
                    <w:t>2 orbitals. 3) Extensions of literature parametric equations were used for p and d</w:t>
                  </w:r>
                  <w:r w:rsidRPr="0005639F">
                    <w:rPr>
                      <w:rFonts w:ascii="Times New Roman" w:eastAsia="Times New Roman" w:hAnsi="Times New Roman" w:cs="Times New Roman"/>
                      <w:sz w:val="20"/>
                      <w:szCs w:val="20"/>
                      <w:vertAlign w:val="subscript"/>
                    </w:rPr>
                    <w:t>z</w:t>
                  </w:r>
                  <w:r w:rsidRPr="0005639F">
                    <w:rPr>
                      <w:rFonts w:ascii="Times New Roman" w:eastAsia="Times New Roman" w:hAnsi="Times New Roman" w:cs="Times New Roman"/>
                      <w:sz w:val="20"/>
                      <w:szCs w:val="20"/>
                    </w:rPr>
                    <w:t>2 orbitals. These equations can be used to generate images, vector and rasterized, using many software platforms, including gnuplot and Microsoft Excel, and they can be used in advanced undergraduate orbital plotting exercises. Further use of this work includes direct integration of the ψ*ψ for the 2s and 2p orbitals with the limits of the isosurfaces and generation of physical models.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This could be placed in a physical chemistry session as well.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2263553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Austin U. Gehret</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Science &amp; Mathematics, National Technical Institute for the Deaf, Rochester Institute of Technology,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1" w:anchor="2263553" w:history="1">
                    <w:r w:rsidRPr="0005639F">
                      <w:rPr>
                        <w:rFonts w:ascii="Times New Roman" w:eastAsia="Times New Roman" w:hAnsi="Times New Roman" w:cs="Times New Roman"/>
                        <w:color w:val="0000FF"/>
                        <w:sz w:val="20"/>
                        <w:szCs w:val="20"/>
                        <w:u w:val="single"/>
                      </w:rPr>
                      <w:t>A classroom-based activity designed to enhance student comprehension of enzyme catalysis of reaction rate.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concept of enzyme-catalyzed reaction rate requires a foundational understanding of reaction rate prior to an explanation of enzyme influence on those rates. It is predicted that the interchangeable use of these terms diminishes student understanding of these concepts. A classroom activity has been devised that allows students to visualize a reaction in both an un-catalyzed and enzyme-catalyzed setting. Students’ hands play the role of an enzyme by catalyzing the conversion of two pop beads linked together (substrate) into two individual pop beads (products) in the catalyzed setting. Students record the number of products they make over short periods of time, calculate the reaction rate at each interval and plot their progress on a graph. By comparing their progress to the same reaction occurring without the aid of a student’s hands (un-catalyzed setting), it is the intention that this role-playing exercise will allow students to better comprehend enzyme catalysis and its influence on reaction rate. Furthermore, this kinesthetic approach allows to students to experience first-hand the effect substrate depletion has on enzyme-catalyzed reaction rate. Students should thus take away an appreciation for why the initial reaction rate of an enzyme is the best measure of its influence. Students are also asked to extrapolate on their experience to predict how temperature would influence their enzyme-catalyzed reaction rates. Survey results will reveal the effectiveness of this classroom activity towards improving student understanding of these fundamental concepts.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2265029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Dominic Ventura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Angela Poblocki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D'Youville College, Buffalo,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2" w:anchor="2265029" w:history="1">
                    <w:r w:rsidRPr="0005639F">
                      <w:rPr>
                        <w:rFonts w:ascii="Times New Roman" w:eastAsia="Times New Roman" w:hAnsi="Times New Roman" w:cs="Times New Roman"/>
                        <w:color w:val="0000FF"/>
                        <w:sz w:val="20"/>
                        <w:szCs w:val="20"/>
                        <w:u w:val="single"/>
                      </w:rPr>
                      <w:t>Nuclear Chemistry Under Western New York: A Lesson for General Chemistry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A major challenge that faces us as educators is igniting excitement in students about a certain topic. One method of obtaining the interest of students is by relating textbook topics to everyday life. Relating nuclear chemistry to Buffalo, NY and the surrounding Western New York area, in locations near to D’Youville College, has sparked an interest in this topic and has helped it become one of the favorites among the students. Although few realize it, Western New York has a strong past involved in nuclear chemistry, especially during World War II. We examine and investigate the use of this historic information to engage students in the undergraduate classroom. While this study may seem to only impact a small regional area, there are nearly 90 other locations of radioactive </w:t>
                  </w:r>
                  <w:r w:rsidRPr="0005639F">
                    <w:rPr>
                      <w:rFonts w:ascii="Times New Roman" w:eastAsia="Times New Roman" w:hAnsi="Times New Roman" w:cs="Times New Roman"/>
                      <w:sz w:val="20"/>
                      <w:szCs w:val="20"/>
                    </w:rPr>
                    <w:lastRenderedPageBreak/>
                    <w:t>waste distributed across the United States, making similar lessons viable in nearly any region of the United States.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2271609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Gita Perkins</w:t>
                  </w:r>
                  <w:r w:rsidRPr="0005639F">
                    <w:rPr>
                      <w:rFonts w:ascii="Times New Roman" w:eastAsia="Times New Roman" w:hAnsi="Times New Roman" w:cs="Times New Roman"/>
                      <w:sz w:val="20"/>
                      <w:szCs w:val="20"/>
                      <w:vertAlign w:val="superscript"/>
                    </w:rPr>
                    <w:t>1, 2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Science/Chemical Education, Arizona State University, Tempe, AZ, United States. </w:t>
                  </w:r>
                  <w:r w:rsidRPr="0005639F">
                    <w:rPr>
                      <w:rFonts w:ascii="Times New Roman" w:eastAsia="Times New Roman" w:hAnsi="Times New Roman" w:cs="Times New Roman"/>
                      <w:sz w:val="20"/>
                      <w:szCs w:val="20"/>
                    </w:rPr>
                    <w:br/>
                    <w:t xml:space="preserve">2. Chemistry, Maricopa Community College, Phoenix, AZ,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3" w:anchor="2271609" w:history="1">
                    <w:r w:rsidRPr="0005639F">
                      <w:rPr>
                        <w:rFonts w:ascii="Times New Roman" w:eastAsia="Times New Roman" w:hAnsi="Times New Roman" w:cs="Times New Roman"/>
                        <w:color w:val="0000FF"/>
                        <w:sz w:val="20"/>
                        <w:szCs w:val="20"/>
                        <w:u w:val="single"/>
                      </w:rPr>
                      <w:t>Exploring case study pedagogy in a community college classroom: An application of Boyle’s Law</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Case study serves as an interdisciplinary pedagogy tool. It enables to integrate relevance, student involvement, basic scientific concepts (Gas Laws) and science skills such as speculation. The proposed submission for a poster is an effort to examine case study pedagogy in a community college classroom. A sample of 13 students participated on a discussion board pertaining to Gas Laws. Student pairs were given a scenario in which they were asked to imagine that on a snorkeling trip, they observed the diving behavior of gannets. When the gannets swam upwards, student pairs were asked to apply Boyle’s Law and craft a hypothesis on what was enabling gannets to hunt for food underwater more effectively. A qualitative analysis of the discussion board responses revealed active participation in the learning process (all posted to discussion board prior to due date), ability to apply Boyle’s law to a real-life situation; and ability to speculate (a critical science process skill) in comparing gannet’s diving behavior to that of a fictional creature, the Nessie. Screen shots of sample discussions will be provided on the poster. A future plan is to explore the feasibility of this pedagogy in a laboratory setting. A sample response, “This is interesting. If the gannet had not already captured and consumed it's prey as it dived in to the water, the buoyancy of their air sacs would help them accelerate to a prey as the bird ascends to the surface. By diving, the pressure acts like a slingshot for the birds, in conjunction with their air sacs.</w:t>
                  </w:r>
                  <w:r w:rsidRPr="0005639F">
                    <w:rPr>
                      <w:rFonts w:ascii="Times New Roman" w:eastAsia="Times New Roman" w:hAnsi="Times New Roman" w:cs="Times New Roman"/>
                      <w:sz w:val="20"/>
                      <w:szCs w:val="20"/>
                    </w:rPr>
                    <w:br/>
                    <w:t>First off, Nessie is not real. There has been no hard, verifiable and plausible evidence of its existence and therefor no true scientific assessment of its underwater behaviors and capabilities. Everything about the legend is speculation driven by a romanticism of a "noble" and mysterious creature that somehow has eluded modern technology.</w:t>
                  </w:r>
                  <w:r w:rsidRPr="0005639F">
                    <w:rPr>
                      <w:rFonts w:ascii="Times New Roman" w:eastAsia="Times New Roman" w:hAnsi="Times New Roman" w:cs="Times New Roman"/>
                      <w:sz w:val="20"/>
                      <w:szCs w:val="20"/>
                    </w:rPr>
                    <w:br/>
                    <w:t>But lets say Nessie exists, what is to say that it is a mammal that needs to surface for air like whales? Whales use the air they breath in for buoyancy and balance the pressure when they have to dive deep and this also helps them surface quickly. If Nessie exists in that fashion, it wouldn't still be a legend. But if Nessie instead has gills, why would it ever surface in the first place? If it had gills, their underwater behavior would be vastly different from a gannet diving into the ocean for a brief time to eat. Nessie's behavior would be similar to maybe a shark.”</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CONTROL ID: </w:t>
                  </w:r>
                  <w:r w:rsidRPr="0005639F">
                    <w:rPr>
                      <w:rFonts w:ascii="Times New Roman" w:eastAsia="Times New Roman" w:hAnsi="Times New Roman" w:cs="Times New Roman"/>
                      <w:sz w:val="20"/>
                      <w:szCs w:val="20"/>
                    </w:rPr>
                    <w:t>2289724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Julie M. Belanger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Sara E. Potteiger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Physics, King's College, Wilkes-Barre,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4" w:anchor="2289724" w:history="1">
                    <w:r w:rsidRPr="0005639F">
                      <w:rPr>
                        <w:rFonts w:ascii="Times New Roman" w:eastAsia="Times New Roman" w:hAnsi="Times New Roman" w:cs="Times New Roman"/>
                        <w:color w:val="0000FF"/>
                        <w:sz w:val="20"/>
                        <w:szCs w:val="20"/>
                        <w:u w:val="single"/>
                      </w:rPr>
                      <w:t>An Inquiry-based Undergraduate Laboratory Exercise for Phospholipid Identification using Thin Layer Chromatography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Lipids play important roles in biology, including cell membrane structure and fluidity, as well as signal transduction. Phospholipids, which contain phosphorus in the lipid head-group, can be found in everyday items such as chicken eggs and certain dietary supplements. Many procedures for the analysis of lipid composition require access to expensive instrumentation or the purchase of lipid standards that may degrade upon storage. We have developed an exercise that can be performed in an undergraduate biochemistry or organic chemistry laboratory setting where students extract lipids from sources such as chicken eggs, soy lecithin pills, krill oil and fish oil pills, with subsequent analysis using thin-layer chromatography (TLC). The eluted TLC spots are then stained with colorful visualization agents, indicating which chemical functional groups are present in each spot (ex: phosphate, amine, etc). Retention factor (Rf) values are then determined for all the TLC spots from each lipid source above. Students use these Rf values to complete inquiry-based worksheets, where their functional group determinations from staining and Rf values are compared to common lipid chemical structures and “relative” retention factor values to determine the most likely identity of the lipids in each source. The novelty of this approach is twofold: (1) krill oil and fish oil pills are used which are seemingly similar but differ in their lipid composition, and (2) “relative” Rf values are used, which provide a number ranking (#1-7) to how far each lipid elutes from the origin, eliminating the need for lipid standards and allowing the students to deduce identities instead of just matching a known Rf value for the lipid. This activity was successfully tested in an undergraduate organic chemistry setting and can be completed in two 3-hour lab sessions, with the option to modify the experiment to be completed in one 3 hour lab session.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2290256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Michael W. Fennie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Jessica M. Roth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The University of Scranton, Scranton,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5" w:anchor="2290256" w:history="1">
                    <w:r w:rsidRPr="0005639F">
                      <w:rPr>
                        <w:rFonts w:ascii="Times New Roman" w:eastAsia="Times New Roman" w:hAnsi="Times New Roman" w:cs="Times New Roman"/>
                        <w:color w:val="0000FF"/>
                        <w:sz w:val="20"/>
                        <w:szCs w:val="20"/>
                        <w:u w:val="single"/>
                      </w:rPr>
                      <w:t>Investigating Amide Bond Forming Reactions in an Undergraduate Laboratory Project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Amides are ubiquitous functional groups found in proteins, synthetic polymers such as Kevlar, and small-molecule (e.g. zolpidem) and biologic pharmaceuticals (e.g. abatacept). In 2007, the American Chemical Society Green Chemistry Institute Pharmaceutical Roundtable listed “amide formation avoiding poor atom economy reagents” as the top research priority for reactions currently used by the pharmaceutical industry (</w:t>
                  </w:r>
                  <w:r w:rsidRPr="0005639F">
                    <w:rPr>
                      <w:rFonts w:ascii="Times New Roman" w:eastAsia="Times New Roman" w:hAnsi="Times New Roman" w:cs="Times New Roman"/>
                      <w:i/>
                      <w:iCs/>
                      <w:sz w:val="20"/>
                      <w:szCs w:val="20"/>
                    </w:rPr>
                    <w:t xml:space="preserve">Green Chem. </w:t>
                  </w:r>
                  <w:r w:rsidRPr="0005639F">
                    <w:rPr>
                      <w:rFonts w:ascii="Times New Roman" w:eastAsia="Times New Roman" w:hAnsi="Times New Roman" w:cs="Times New Roman"/>
                      <w:b/>
                      <w:bCs/>
                      <w:sz w:val="20"/>
                      <w:szCs w:val="20"/>
                    </w:rPr>
                    <w:t>2007</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9</w:t>
                  </w:r>
                  <w:r w:rsidRPr="0005639F">
                    <w:rPr>
                      <w:rFonts w:ascii="Times New Roman" w:eastAsia="Times New Roman" w:hAnsi="Times New Roman" w:cs="Times New Roman"/>
                      <w:sz w:val="20"/>
                      <w:szCs w:val="20"/>
                    </w:rPr>
                    <w:t xml:space="preserve">, 411-420). In the laboratory project presented, students investigate this priority. Using hydrocinnamic acid and benzylamine as reactants, students performed one of three different types of amide forming reactions: formation of the acid chloride from hydrocinnamic acid and its reaction with benzylamine, a stoichiometric coupling reagent (HATU) promoted reaction of benzylamine and hydrocinnamic acid, or a boric acid catalyzed condensation of benzylamine and hydrocinnamic acid. After isolation of the common product, each group assessed yield and purity. The compiled data associated with each reaction was assessed using different metrics: the 12 principles of green chemistry, the Ecoscale (http://www.ecoscale.org), atom economy, and the </w:t>
                  </w:r>
                  <w:r w:rsidRPr="0005639F">
                    <w:rPr>
                      <w:rFonts w:ascii="Times New Roman" w:eastAsia="Times New Roman" w:hAnsi="Times New Roman" w:cs="Times New Roman"/>
                      <w:sz w:val="20"/>
                      <w:szCs w:val="20"/>
                    </w:rPr>
                    <w:lastRenderedPageBreak/>
                    <w:t>mass-intensity factor. Each group was in agreement that the boric acid catalyzed route was the greenest as measured by each metric. For example, the boric acid route had an atom economy of 93%, the acid chloride route 44%, the HATU route 28%. Lastly, the total process cost of synthesizing a kilogram of the amide based on the data from each group was calculated using the current prices listed on the Sigma-Aldrich website. The boric acid route was by far the least expensive, whereas the HATU route was an order of magnitude more expensive. Student learning outcomes and feedback will also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2292267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Dwayne Bell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Shelli R. Waetzig</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Framingham State University, Framingham,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6" w:anchor="2292267" w:history="1">
                    <w:r w:rsidRPr="0005639F">
                      <w:rPr>
                        <w:rFonts w:ascii="Times New Roman" w:eastAsia="Times New Roman" w:hAnsi="Times New Roman" w:cs="Times New Roman"/>
                        <w:b/>
                        <w:bCs/>
                        <w:color w:val="0000FF"/>
                        <w:sz w:val="20"/>
                        <w:szCs w:val="20"/>
                        <w:u w:val="single"/>
                      </w:rPr>
                      <w:t>Model Kits, Cell Phones, and Selfies</w:t>
                    </w:r>
                    <w:r w:rsidRPr="0005639F">
                      <w:rPr>
                        <w:rFonts w:ascii="Times New Roman" w:eastAsia="Times New Roman" w:hAnsi="Times New Roman" w:cs="Times New Roman"/>
                        <w:color w:val="0000FF"/>
                        <w:sz w:val="20"/>
                        <w:szCs w:val="20"/>
                        <w:u w:val="single"/>
                      </w:rPr>
                      <w:t xml:space="preserve">: </w:t>
                    </w:r>
                    <w:r w:rsidRPr="0005639F">
                      <w:rPr>
                        <w:rFonts w:ascii="Times New Roman" w:eastAsia="Times New Roman" w:hAnsi="Times New Roman" w:cs="Times New Roman"/>
                        <w:i/>
                        <w:iCs/>
                        <w:color w:val="0000FF"/>
                        <w:sz w:val="20"/>
                        <w:szCs w:val="20"/>
                        <w:u w:val="single"/>
                      </w:rPr>
                      <w:t>A fun way to encourage students to use their molecular model kits in Organic Chemistry I.</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Introductory organic chemistry is very much an exercise in becoming familiar with the shapes of organic compounds. For years, molecular modeling kits have been available to students, but students don’t often know how to use or are intimidated by these valuable tools. Instead, they seek out videos on the internet to learn about molecular structure. In an attempt to familiarize students with ‘old fashioned’ model kits and to help them learn important structural concepts, our idea was to couple the ‘old fashioned’ plastic models and student familiarity with electronic media. Weekly modeling assignments were given to encourage students to build structures with their model kit and take pictures of the models (typically with a cellphone or webcam). Pictures were submitted online to the instructor via Blackboard as a weekly journal entry. Five to seven pictures were required per assignment. The students were also required to take a “selfie” of themselves holding on to one of the required model structures. The first phase of our project was to determine feasibility of implementation as well as determine if such an approach to teaching molecular structure a worthwhile endeavor. The ongoing second phase of our project will be to determine metrics for monitoring student learning using this approach. Early indications show that this is both a manageable and successful endeavor in helping students better understand molecular structure.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2292576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Derrick . James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&amp; Physics, Salem State University, Boston,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7" w:anchor="2292576" w:history="1">
                    <w:r w:rsidRPr="0005639F">
                      <w:rPr>
                        <w:rFonts w:ascii="Times New Roman" w:eastAsia="Times New Roman" w:hAnsi="Times New Roman" w:cs="Times New Roman"/>
                        <w:b/>
                        <w:bCs/>
                        <w:i/>
                        <w:iCs/>
                        <w:color w:val="0000FF"/>
                        <w:sz w:val="20"/>
                        <w:szCs w:val="20"/>
                        <w:u w:val="single"/>
                      </w:rPr>
                      <w:t>Depolymerization of lignin using microwave irradiation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r>
                  <w:r w:rsidRPr="0005639F">
                    <w:rPr>
                      <w:rFonts w:ascii="Times New Roman" w:eastAsia="Times New Roman" w:hAnsi="Times New Roman" w:cs="Times New Roman"/>
                      <w:b/>
                      <w:bCs/>
                      <w:sz w:val="20"/>
                      <w:szCs w:val="20"/>
                    </w:rPr>
                    <w:lastRenderedPageBreak/>
                    <w:t xml:space="preserve">Abstract: </w:t>
                  </w:r>
                  <w:r w:rsidRPr="0005639F">
                    <w:rPr>
                      <w:rFonts w:ascii="Times New Roman" w:eastAsia="Times New Roman" w:hAnsi="Times New Roman" w:cs="Times New Roman"/>
                      <w:b/>
                      <w:bCs/>
                      <w:i/>
                      <w:iCs/>
                      <w:sz w:val="20"/>
                      <w:szCs w:val="20"/>
                      <w:u w:val="single"/>
                    </w:rPr>
                    <w:t>Depolymerization of lignin using microwave irradiation</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Lignin is a byproduct of the paper and pulp industry. It is a polymeric material that’s comprised of various kinds of polymeric materials called phenolics. The lignin is made up of phenol, guaiacol or syringol based building blocks. The composition of the lignin is highly dependent on the type of wood from which it is isolated. Soft wood has high amounts of guaiacol derivatives; whereas, hard wood has high amounts of syringol derivatives. Lignin can be depolymerized using pyrolysis, which yields high valued phenolics, having applications as building blocks in the plastic and pharmaceutical industries. Many of the phenolic derivatives are used as food flavoring agents. However, pyrolysis is an energy intensive process, and the exploration of environmentally benign approaches for the depolymerization of lignin is highly desirable. Herein, we have presented depolymerization of lignin using microwave irradiation under various catalytic conditions, and investigated behavior of the catalyst on the product composition. The product was intensively investigated by GC-MS.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2213145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Shashank Jain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Giuseppe Petrucci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University of Vermont, Burlington, VT, United States. </w:t>
                  </w:r>
                  <w:r w:rsidRPr="0005639F">
                    <w:rPr>
                      <w:rFonts w:ascii="Times New Roman" w:eastAsia="Times New Roman" w:hAnsi="Times New Roman" w:cs="Times New Roman"/>
                      <w:sz w:val="20"/>
                      <w:szCs w:val="20"/>
                    </w:rPr>
                    <w:br/>
                    <w:t xml:space="preserve">2. Chemistry, University Of Vermont, Burlington, VT,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8" w:anchor="2213145" w:history="1">
                    <w:r w:rsidRPr="0005639F">
                      <w:rPr>
                        <w:rFonts w:ascii="Times New Roman" w:eastAsia="Times New Roman" w:hAnsi="Times New Roman" w:cs="Times New Roman"/>
                        <w:color w:val="0000FF"/>
                        <w:sz w:val="20"/>
                        <w:szCs w:val="20"/>
                        <w:u w:val="single"/>
                      </w:rPr>
                      <w:t>A new method to measure aerosol particle bounce and estimating the phase state of atmospheric aerosols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Organic aerosol (OA) is a ubiquitous component of atmospheric particulate that influences both human health and global climate. A large fraction of OA is secondary in nature (SOA), being produced by oxidation of volatile organic compounds (VOCs) emitted by biogenic and anthropogenic sources. Atmospheric SOA could be liquid or solid in phase and can affect the global climate in multiple and complex ways through its interactions with radiation and clouds. SOA can either scatter or absorb solar radiation, thereby modifying the Earth’s radiative balance. Such scattering or absorbing largely depends on aerosol physical properties and environmental conditions. SOA particles can also act as cloud and ice condensation nuclei, impacting atmospheric albedo, cloud formation and lifetime. Moreover, the physical state of particles can affect particulate phase chemical reactions, and thus the growth rates of newly formed atmospheric particles. Hence understanding the phase state of aerosol is a key to understanding the global climate change.</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In the present work, we describe a simplified method to measure the phase state (liquid or non-liquid) of organic by estimating the bounce factor of polydisperse SOA using only a multi-stage cascade electrical low pressure impactor. The method eliminates the need for an independent measure of the particle size distribution (for example, as with an SMPS) and relies on comparison of absolute ion currents at each impactor stage under conditions that favor or reduce particle bounce. We validated the proposed method with solid, liquid and transition aerosols (aerosol which transitions from liquid to non-liquid state upon ozonolysis), namely ammonium sulfate (AS), dioctyl sebacate (DOS) and oleic acid (OA), and present bounce factor evolution of aging α-pinene-derived SOA. This method allows for the real-time determination of SOA phase state for polydisperse aerosols, permitting studies of the relationship between SOA phase, oxidative formation and chemical aging. The proposed method allowed us to evaluate the impact that various parameters, such as SOA precursor, relative humidity, oxidation type and mixing ratio, can have on the phase of atmospheric organic particulate.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6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2229078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Jarod Grossman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Tara F. Kahan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99" w:anchor="2229078" w:history="1">
                    <w:r w:rsidRPr="0005639F">
                      <w:rPr>
                        <w:rFonts w:ascii="Times New Roman" w:eastAsia="Times New Roman" w:hAnsi="Times New Roman" w:cs="Times New Roman"/>
                        <w:color w:val="0000FF"/>
                        <w:sz w:val="20"/>
                        <w:szCs w:val="20"/>
                        <w:u w:val="single"/>
                      </w:rPr>
                      <w:t xml:space="preserve">Hydroxyl radical formation from bacteria-assisted Fenton Chemistry at neutral pH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Fenton chemistry is one of the primary sources of hydroxyl radicals (OH) in natural waters in the absence of sunlight. Dark Fenton chemistry is thought to occur only in acidic waters, due primarily to solubility limitations of iron at higher pH. We have investigated the effects of the iron-reducing bacteria </w:t>
                  </w:r>
                  <w:r w:rsidRPr="0005639F">
                    <w:rPr>
                      <w:rFonts w:ascii="Times New Roman" w:eastAsia="Times New Roman" w:hAnsi="Times New Roman" w:cs="Times New Roman"/>
                      <w:i/>
                      <w:iCs/>
                      <w:sz w:val="20"/>
                      <w:szCs w:val="20"/>
                    </w:rPr>
                    <w:t xml:space="preserve">Shewanella oneidensis </w:t>
                  </w:r>
                  <w:r w:rsidRPr="0005639F">
                    <w:rPr>
                      <w:rFonts w:ascii="Times New Roman" w:eastAsia="Times New Roman" w:hAnsi="Times New Roman" w:cs="Times New Roman"/>
                      <w:sz w:val="20"/>
                      <w:szCs w:val="20"/>
                    </w:rPr>
                    <w:t>(SO) on dark Fenton chemistry at neutral pH. We show that SO significantly increases OH production rates at neutral pH; OH production rates increased by a factor of 1.5 when iron was in the form of Fe(II), and by a factor of six when iron was in the form of Fe(III). Hydroxyl radical production rates depended linearly on SO cell density and on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concentration. Our results suggest that bacteria-assisted Fenton chemistry could greatly increase dark radical production in natural waters, especially at near-neutral pH.</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2246038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Tara F. Kahan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Jarod Grossman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Philip Malley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0" w:anchor="2246038" w:history="1">
                    <w:r w:rsidRPr="0005639F">
                      <w:rPr>
                        <w:rFonts w:ascii="Times New Roman" w:eastAsia="Times New Roman" w:hAnsi="Times New Roman" w:cs="Times New Roman"/>
                        <w:b/>
                        <w:bCs/>
                        <w:color w:val="0000FF"/>
                        <w:sz w:val="20"/>
                        <w:szCs w:val="20"/>
                        <w:u w:val="single"/>
                      </w:rPr>
                      <w:t>Photolysis of Aromatic Pollutants in Aqueous, Organic, and Mixed Phases: Implications for Reactivity in Aerosols, Natural Waters, and Ice</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Condensed phases in the atmosphere such as cloud droplets, aerosols, and snow often contain both water and organic matter (OM). Reactivity can differ significantly between aqueous and organic phases. We have measured photolysis kinetics of the polycyclic aromatic hydrocarbons (PAHs) anthracene and pyrene in several organic solvents and in water, as well as in miscible and phase-separated aqueous-organic mixtures at atmospherically-relevant wavelengths. Photolysis rate constants generally increased with increasing solvent dielectric constant, with photolysis of both PAHs occurring more than ten times faster in water than in octanol. Local polarity had a much greater effect on PAH photolysis kinetics than changes in PAH absorptivity or singlet oxygen concentrations. Photolysis kinetics in homogeneous aqueous-organic mixtures varied monotonically with OM volume fraction. Kinetics in immiscible (phase-separated) solutions were more complex. In stagnant solutions, kinetics were well-described by equilibrium partitioning, but in turbulent solutions, kinetics were faster than predicted based on the amount of OM present. In frozen aqueous-organic samples, photolysis was substantially suppressed at OM concentrations well below those corresponding to a formal monolayer at a water surface, likely due to freeze-concentration effects. Chromophoric OM (that absorbs sunlight) such as fulvic acid suppressed </w:t>
                  </w:r>
                  <w:r w:rsidRPr="0005639F">
                    <w:rPr>
                      <w:rFonts w:ascii="Times New Roman" w:eastAsia="Times New Roman" w:hAnsi="Times New Roman" w:cs="Times New Roman"/>
                      <w:sz w:val="20"/>
                      <w:szCs w:val="20"/>
                    </w:rPr>
                    <w:lastRenderedPageBreak/>
                    <w:t>anthracene photolysis primarily by blocking photons. Effects were greater in frozen samples, again likely due to freeze exclusion. Our results suggest that OM could greatly affect the photochemical lifetimes of PAHs in condensed phases in the environment such as aerosols and ice, even if the OM does not itself absorb photons.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2259218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Geoffrey Peterson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Timothy Jones</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Diana Rispoli</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Vadoud Niri</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 State University of New York at Oswego, Bridgeport, NY, United States. </w:t>
                  </w:r>
                  <w:r w:rsidRPr="0005639F">
                    <w:rPr>
                      <w:rFonts w:ascii="Times New Roman" w:eastAsia="Times New Roman" w:hAnsi="Times New Roman" w:cs="Times New Roman"/>
                      <w:sz w:val="20"/>
                      <w:szCs w:val="20"/>
                    </w:rPr>
                    <w:br/>
                    <w:t xml:space="preserve">2. Chemistry, State University of New York at Oswego, Oswego,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1" w:anchor="2259218" w:history="1">
                    <w:r w:rsidRPr="0005639F">
                      <w:rPr>
                        <w:rFonts w:ascii="Times New Roman" w:eastAsia="Times New Roman" w:hAnsi="Times New Roman" w:cs="Times New Roman"/>
                        <w:b/>
                        <w:bCs/>
                        <w:color w:val="0000FF"/>
                        <w:sz w:val="20"/>
                        <w:szCs w:val="20"/>
                        <w:u w:val="single"/>
                      </w:rPr>
                      <w:t>Investigation of phytoremedation of volatile organic compounds in indoor environments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Poor indoor air quality has been connected with sick building syndrome (SBS) and reduced worker productivity and satisfaction within workplaces. Volatile organic compounds (VOCs) are important indoor contaminants released from different sources including building materials, furniture, and electronics. Newly constructed buildings are known to have high VOC concentrations due to the recent installation of many VOC-containing products that are used in building construction. A substantial proportion of VOCs are detrimental to human health with effects ranging from dizziness and nausea to central nervous system damage, various forms of cancer, and even death. Because of the serious nature of VOCs as a health hazard, many remediation techniques are being developed. Phytoremediation is an emerging technology that uses plants to clean up indoor air through degradation, extraction, or immobilization of contaminants.</w:t>
                  </w:r>
                  <w:r w:rsidRPr="0005639F">
                    <w:rPr>
                      <w:rFonts w:ascii="Times New Roman" w:eastAsia="Times New Roman" w:hAnsi="Times New Roman" w:cs="Times New Roman"/>
                      <w:sz w:val="20"/>
                      <w:szCs w:val="20"/>
                    </w:rPr>
                    <w:br/>
                    <w:t xml:space="preserve">Using solid phase microextraction (SPME) coupled with gas chromatography-mass spectrometry (GC/MS), this project aimed to monitor the removal of airborne volatile organic compounds (VOC’s) by common indoor plants. Five plants were selected for study based on previous phytoremediation research and alternative gas uptake mechanisms. The plants selected included three CAM plants; </w:t>
                  </w:r>
                  <w:r w:rsidRPr="0005639F">
                    <w:rPr>
                      <w:rFonts w:ascii="Times New Roman" w:eastAsia="Times New Roman" w:hAnsi="Times New Roman" w:cs="Times New Roman"/>
                      <w:i/>
                      <w:iCs/>
                      <w:sz w:val="20"/>
                      <w:szCs w:val="20"/>
                    </w:rPr>
                    <w:t>Guzmania lingulata, Cassula argentea, Consolea facata</w:t>
                  </w:r>
                  <w:r w:rsidRPr="0005639F">
                    <w:rPr>
                      <w:rFonts w:ascii="Times New Roman" w:eastAsia="Times New Roman" w:hAnsi="Times New Roman" w:cs="Times New Roman"/>
                      <w:sz w:val="20"/>
                      <w:szCs w:val="20"/>
                    </w:rPr>
                    <w:t xml:space="preserve">, and two C3 plants; </w:t>
                  </w:r>
                  <w:r w:rsidRPr="0005639F">
                    <w:rPr>
                      <w:rFonts w:ascii="Times New Roman" w:eastAsia="Times New Roman" w:hAnsi="Times New Roman" w:cs="Times New Roman"/>
                      <w:i/>
                      <w:iCs/>
                      <w:sz w:val="20"/>
                      <w:szCs w:val="20"/>
                    </w:rPr>
                    <w:t xml:space="preserve">Chlorophytum comosum </w:t>
                  </w:r>
                  <w:r w:rsidRPr="0005639F">
                    <w:rPr>
                      <w:rFonts w:ascii="Times New Roman" w:eastAsia="Times New Roman" w:hAnsi="Times New Roman" w:cs="Times New Roman"/>
                      <w:sz w:val="20"/>
                      <w:szCs w:val="20"/>
                    </w:rPr>
                    <w:t>and</w:t>
                  </w:r>
                  <w:r w:rsidRPr="0005639F">
                    <w:rPr>
                      <w:rFonts w:ascii="Times New Roman" w:eastAsia="Times New Roman" w:hAnsi="Times New Roman" w:cs="Times New Roman"/>
                      <w:i/>
                      <w:iCs/>
                      <w:sz w:val="20"/>
                      <w:szCs w:val="20"/>
                    </w:rPr>
                    <w:t xml:space="preserve"> Dracaena fragrans</w:t>
                  </w:r>
                  <w:r w:rsidRPr="0005639F">
                    <w:rPr>
                      <w:rFonts w:ascii="Times New Roman" w:eastAsia="Times New Roman" w:hAnsi="Times New Roman" w:cs="Times New Roman"/>
                      <w:sz w:val="20"/>
                      <w:szCs w:val="20"/>
                    </w:rPr>
                    <w:t xml:space="preserve">. Three treatment conditions were applied to each plant to isolate active VOC uptake mechanisms; covering the base of the plant in foil, no foil, and the use of a light. Of the five plants; </w:t>
                  </w:r>
                  <w:r w:rsidRPr="0005639F">
                    <w:rPr>
                      <w:rFonts w:ascii="Times New Roman" w:eastAsia="Times New Roman" w:hAnsi="Times New Roman" w:cs="Times New Roman"/>
                      <w:i/>
                      <w:iCs/>
                      <w:sz w:val="20"/>
                      <w:szCs w:val="20"/>
                    </w:rPr>
                    <w:t xml:space="preserve">Guzmania lingulata </w:t>
                  </w:r>
                  <w:r w:rsidRPr="0005639F">
                    <w:rPr>
                      <w:rFonts w:ascii="Times New Roman" w:eastAsia="Times New Roman" w:hAnsi="Times New Roman" w:cs="Times New Roman"/>
                      <w:sz w:val="20"/>
                      <w:szCs w:val="20"/>
                    </w:rPr>
                    <w:t>showed the greatest overall VOC uptake in Light treatment conditions with more than 80% removal of six of the eight target VOC compounds over a twelve-hour sampling period. All tested plants showed less than 50% removal of dichloromethane or trichloromethane over the twelve-hour sampling period.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2259324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Christopher W. Sinton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LeeAnn Hill</w:t>
                  </w:r>
                  <w:r w:rsidRPr="0005639F">
                    <w:rPr>
                      <w:rFonts w:ascii="Times New Roman" w:eastAsia="Times New Roman" w:hAnsi="Times New Roman" w:cs="Times New Roman"/>
                      <w:sz w:val="20"/>
                      <w:szCs w:val="20"/>
                      <w:vertAlign w:val="superscript"/>
                    </w:rPr>
                    <w:t>2, 1</w:t>
                  </w:r>
                  <w:r w:rsidRPr="0005639F">
                    <w:rPr>
                      <w:rFonts w:ascii="Times New Roman" w:eastAsia="Times New Roman" w:hAnsi="Times New Roman" w:cs="Times New Roman"/>
                      <w:sz w:val="20"/>
                      <w:szCs w:val="20"/>
                    </w:rPr>
                    <w:t>, Camron Zerbian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Env. Studies and Sciences, Ithaca College, Ithaca, NY, United States. </w:t>
                  </w:r>
                  <w:r w:rsidRPr="0005639F">
                    <w:rPr>
                      <w:rFonts w:ascii="Times New Roman" w:eastAsia="Times New Roman" w:hAnsi="Times New Roman" w:cs="Times New Roman"/>
                      <w:sz w:val="20"/>
                      <w:szCs w:val="20"/>
                    </w:rPr>
                    <w:br/>
                    <w:t xml:space="preserve">2. University of California-Berkeley, Berkeley,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2" w:anchor="2259324" w:history="1">
                    <w:r w:rsidRPr="0005639F">
                      <w:rPr>
                        <w:rFonts w:ascii="Times New Roman" w:eastAsia="Times New Roman" w:hAnsi="Times New Roman" w:cs="Times New Roman"/>
                        <w:b/>
                        <w:bCs/>
                        <w:color w:val="0000FF"/>
                        <w:sz w:val="20"/>
                        <w:szCs w:val="20"/>
                        <w:u w:val="single"/>
                      </w:rPr>
                      <w:t>Evaluation of Heavy Metals in Sediments Downstream from the Ithaca Gun Site, Ithaca, NY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During the 18</w:t>
                  </w:r>
                  <w:r w:rsidRPr="0005639F">
                    <w:rPr>
                      <w:rFonts w:ascii="Times New Roman" w:eastAsia="Times New Roman" w:hAnsi="Times New Roman" w:cs="Times New Roman"/>
                      <w:sz w:val="20"/>
                      <w:szCs w:val="20"/>
                      <w:vertAlign w:val="superscript"/>
                    </w:rPr>
                    <w:t>th</w:t>
                  </w:r>
                  <w:r w:rsidRPr="0005639F">
                    <w:rPr>
                      <w:rFonts w:ascii="Times New Roman" w:eastAsia="Times New Roman" w:hAnsi="Times New Roman" w:cs="Times New Roman"/>
                      <w:sz w:val="20"/>
                      <w:szCs w:val="20"/>
                    </w:rPr>
                    <w:t xml:space="preserve"> and 19</w:t>
                  </w:r>
                  <w:r w:rsidRPr="0005639F">
                    <w:rPr>
                      <w:rFonts w:ascii="Times New Roman" w:eastAsia="Times New Roman" w:hAnsi="Times New Roman" w:cs="Times New Roman"/>
                      <w:sz w:val="20"/>
                      <w:szCs w:val="20"/>
                      <w:vertAlign w:val="superscript"/>
                    </w:rPr>
                    <w:t>th</w:t>
                  </w:r>
                  <w:r w:rsidRPr="0005639F">
                    <w:rPr>
                      <w:rFonts w:ascii="Times New Roman" w:eastAsia="Times New Roman" w:hAnsi="Times New Roman" w:cs="Times New Roman"/>
                      <w:sz w:val="20"/>
                      <w:szCs w:val="20"/>
                    </w:rPr>
                    <w:t xml:space="preserve"> centuries, the northeastern United States relied heavily on waterpower and, as a result, mills and factories were constructed near rivers and streams. Unfortunately, the placement of industrial facilities adjacent to waterways resulted in the contamination of some surface water bodies in the northeastern United States. The Ithaca Gun Company of Ithaca, NY operated for almost a century adjacent to Fall Creek and after it closed in 1986, it became an EPA-designated Superfund site due to excessive lead concentrations in the soil. The goal of this study was to determine if Pb from the Ithaca Gun site has migrated downstream and collected in the sediments of Fall Creek and its delta in Cayuga Lake. Our results show that recent sediments in the stream channel and delta in Cayuga Lake do not have Pb concentrations above ambient levels. Some of the older lake sediments and some samples from the floodplain have elevated Pb concentrations that are close to the ambient lake sediment compositions prior to the 1970s. Positive correlations between the trace metals do not indicate that the Pb is derived from a preferentially enriched in Pb point source, like the Ithaca Gun site. Based on New York State threshold levels, none of the Pb concentrations pose a threat to human health.</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2263912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Alessandra C. Leri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Natural Sciences, Marymount Manhattan College,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3" w:anchor="2263912" w:history="1">
                    <w:r w:rsidRPr="0005639F">
                      <w:rPr>
                        <w:rFonts w:ascii="Times New Roman" w:eastAsia="Times New Roman" w:hAnsi="Times New Roman" w:cs="Times New Roman"/>
                        <w:b/>
                        <w:bCs/>
                        <w:color w:val="0000FF"/>
                        <w:sz w:val="20"/>
                        <w:szCs w:val="20"/>
                        <w:u w:val="single"/>
                      </w:rPr>
                      <w:t>The Unexpected Reactivity of Marine Cl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Chlorine has the highest electron affinity of any element. In nature, Cl exists mainly as the chloride anion, which was long considered to be unreactive under environmental conditions. In terrestrial soils, that assumption has proved unfounded, largely due to the revelation of various chlorinating enzymes in soil microbes. In seawater, however, there has been little evidence to change the enduring perception of the unreactivity of chloride. Halogenating enzymes in marine organisms are primarily bromoperoxidases that take advantage of abundant bromide with lower electron affinity. Known modes of natural marine chlorination produce volatile species such as methyl chloride, which is emitted by marine algae and likely forms through the action of methyl transferases.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We have found high concentrations of organochlorine in naturally degraded particulate organic matter from oceanic sediment traps, with heterogeneously distributed aliphatic and aromatic fractions illuminated via X-ray spectromicroscopy. The major precursor of sediment trap material is phytoplankton biomass, the detritus of which undergoes oxidative breakdown as part of the marine carbon cycle. We hypothesized that unsaturated lipid and protein moieties in phytoplankton detritus would be susceptible to chlorination through oxidative degradation. Using a series of model experiments and a novel X-ray spectroscopic technique, we have shown that algal particulates are readily chlorinated through various abiotic pathways, including photochemical and Fenton-like reactions. These processes produce organochlorine in particulate algal detritus at levels exceeding 0.1% by mass. We have also measured non-volatile natural organochlorine in several species of marine phytoplankton for the first time.</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This discovery of abiotic pathways for large-scale chlorination of marine organic matter provides the first </w:t>
                  </w:r>
                  <w:r w:rsidRPr="0005639F">
                    <w:rPr>
                      <w:rFonts w:ascii="Times New Roman" w:eastAsia="Times New Roman" w:hAnsi="Times New Roman" w:cs="Times New Roman"/>
                      <w:sz w:val="20"/>
                      <w:szCs w:val="20"/>
                    </w:rPr>
                    <w:lastRenderedPageBreak/>
                    <w:t>suggestion of a marine chlorine cycle involving chemical transformations of chloride. Chlorinated organic matter may represent a particularly stable component of marine organic carbon, with possible implications for preservation in sediments.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2274054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YUGE JIAO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Theodore Dibble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SUNY-ESF,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4" w:anchor="2274054" w:history="1">
                    <w:r w:rsidRPr="0005639F">
                      <w:rPr>
                        <w:rFonts w:ascii="Times New Roman" w:eastAsia="Times New Roman" w:hAnsi="Times New Roman" w:cs="Times New Roman"/>
                        <w:color w:val="0000FF"/>
                        <w:sz w:val="20"/>
                        <w:szCs w:val="20"/>
                        <w:u w:val="single"/>
                      </w:rPr>
                      <w:t>Theoretical study on the kinetics of atmospherically important reaction BrHg + Y (Y = NO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 HO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 ClO, BrO, or IO)</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Bromine atom is known to initiate the oxidation of gaseous elemental mercury, Hg(0), in the marine boundary layer and in polar mercury depletion events. It is also suspected of playing a role in Hg(0) oxidation in the global troposphere. This process is initiated via the reaction Hg + Br à BrHg•. The second step is suspected to be reaction of BrHg• radical with atmospherically abundant radicals Y• (Y =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HO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ClO, BrO, or IO) to form stable compounds BrHg-Y. Unfortunately, rate constants for reactiosn of BrHg• have never been measured, and there has yet to be any experimental detection of these BrHgY species, even in the laboratory. We are using computational chemistry to characterize these species and determine the rate constants for their formation. In current study, the BrHg-Y bond energies are determined by high-level quantum chemical methods. Kinetic calculations indicate that the rate constant for the BrHg +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reaction is of the order of 10</w:t>
                  </w:r>
                  <w:r w:rsidRPr="0005639F">
                    <w:rPr>
                      <w:rFonts w:ascii="Times New Roman" w:eastAsia="Times New Roman" w:hAnsi="Times New Roman" w:cs="Times New Roman"/>
                      <w:sz w:val="20"/>
                      <w:szCs w:val="20"/>
                      <w:vertAlign w:val="superscript"/>
                    </w:rPr>
                    <w:t>-10</w:t>
                  </w:r>
                  <w:r w:rsidRPr="0005639F">
                    <w:rPr>
                      <w:rFonts w:ascii="Times New Roman" w:eastAsia="Times New Roman" w:hAnsi="Times New Roman" w:cs="Times New Roman"/>
                      <w:sz w:val="20"/>
                      <w:szCs w:val="20"/>
                    </w:rPr>
                    <w:t xml:space="preserve"> cm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molecule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sec</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similar to that of BrHg• + Br. Further calculations indicate that any BrHgNO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formed is transformed completely to </w:t>
                  </w:r>
                  <w:r w:rsidRPr="0005639F">
                    <w:rPr>
                      <w:rFonts w:ascii="Times New Roman" w:eastAsia="Times New Roman" w:hAnsi="Times New Roman" w:cs="Times New Roman"/>
                      <w:i/>
                      <w:iCs/>
                      <w:sz w:val="20"/>
                      <w:szCs w:val="20"/>
                    </w:rPr>
                    <w:t>syn</w:t>
                  </w:r>
                  <w:r w:rsidRPr="0005639F">
                    <w:rPr>
                      <w:rFonts w:ascii="Times New Roman" w:eastAsia="Times New Roman" w:hAnsi="Times New Roman" w:cs="Times New Roman"/>
                      <w:sz w:val="20"/>
                      <w:szCs w:val="20"/>
                    </w:rPr>
                    <w:t>-BrHgONO. The implications of these results to oxidation mechanism of gaseous elemental mercury and mercury deposition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2284947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Priyank Shah</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Akshay Kokil</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Robert F. Kovar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Yongwoo Lee</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R.F. Kovar Associates, Wrentham, MA, United States. </w:t>
                  </w:r>
                  <w:r w:rsidRPr="0005639F">
                    <w:rPr>
                      <w:rFonts w:ascii="Times New Roman" w:eastAsia="Times New Roman" w:hAnsi="Times New Roman" w:cs="Times New Roman"/>
                      <w:sz w:val="20"/>
                      <w:szCs w:val="20"/>
                    </w:rPr>
                    <w:br/>
                    <w:t xml:space="preserve">2. Chemistry, University of Massachusetts Lowell, Lowell, MA, United States. </w:t>
                  </w:r>
                  <w:r w:rsidRPr="0005639F">
                    <w:rPr>
                      <w:rFonts w:ascii="Times New Roman" w:eastAsia="Times New Roman" w:hAnsi="Times New Roman" w:cs="Times New Roman"/>
                      <w:sz w:val="20"/>
                      <w:szCs w:val="20"/>
                    </w:rPr>
                    <w:br/>
                    <w:t xml:space="preserve">3. Chemistry, University of Massachusetts at Lowell, Lowell,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5" w:anchor="2284947" w:history="1">
                    <w:r w:rsidRPr="0005639F">
                      <w:rPr>
                        <w:rFonts w:ascii="Times New Roman" w:eastAsia="Times New Roman" w:hAnsi="Times New Roman" w:cs="Times New Roman"/>
                        <w:b/>
                        <w:bCs/>
                        <w:color w:val="0000FF"/>
                        <w:sz w:val="20"/>
                        <w:szCs w:val="20"/>
                        <w:u w:val="single"/>
                      </w:rPr>
                      <w:t>Green Vinyl Ester Resin from Renewable Biowaste Glycerin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We present here for the first time a novel environmentally benign protocol for synthesis of vinyl ester resin (VER). Our synthetic strategy utilizes a commercial waste material, glycerin, from biodiesel manufacturing, </w:t>
                  </w:r>
                  <w:r w:rsidRPr="0005639F">
                    <w:rPr>
                      <w:rFonts w:ascii="Times New Roman" w:eastAsia="Times New Roman" w:hAnsi="Times New Roman" w:cs="Times New Roman"/>
                      <w:sz w:val="20"/>
                      <w:szCs w:val="20"/>
                    </w:rPr>
                    <w:lastRenderedPageBreak/>
                    <w:t xml:space="preserve">and converts it into a widely utilized resin. The VER was synthesized using bisphenol A (BPA) and glycidyl methacrylate (GMA) as precursors. GMA was synthesized using glycerine obtained from a biodiesel manufacturing waste stream. Glycerine was converted to GMA using a novel multistep synthetic protocol. The structure of intermediate was confirmed by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H NMR, HPLC and FT-IR spectroscopy.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2285549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Michael G. Goldfeld</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Advanced BioCatalytics Corp., Irvine, CA,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6" w:anchor="2285549" w:history="1">
                    <w:r w:rsidRPr="0005639F">
                      <w:rPr>
                        <w:rFonts w:ascii="Times New Roman" w:eastAsia="Times New Roman" w:hAnsi="Times New Roman" w:cs="Times New Roman"/>
                        <w:color w:val="0000FF"/>
                        <w:sz w:val="20"/>
                        <w:szCs w:val="20"/>
                        <w:u w:val="single"/>
                      </w:rPr>
                      <w:t>Proteins as Surfactant Synergists for Environmental and Industrial Applications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Data presented on the effect of small proteins on the surface activity of synthetic surfactants and their blends as assessed by standard surface science techniques. Surface tension of aqueous surfactant solutions, interfacial tension between those solutions and water insoluble substrates, and contact angle between these solutions and solid and soft surfaces were determined. It is shown that both small individual proteins, such as lysozyme and b-lactoglobulin, as well as proteins in a yeast extract, significantly and predictively reduce critical micelle concentration of multiple widely used surfactants: ionic, non-ionic and amphoteric. Typically, lower minimal interfacial tension could be achieved with a protein synergist, than with the same surfactant in the absence of protein. Examples of industrially important applications of a protein synergist are described. In one of them, the protein accelerates wetting and spreading of surfactant solutions on the hydrophobic surface of green leaves, as well as human skin, with concomitant enhancement of the solution uptake. In another example, the activity of bacterial lipase, an important industrial enzyme, towards a segregated oil substrate is enhanced by a surfactant–protein synergist blend, as compared to the same surfactant(s) in the absence of a protein synergist. Applications in industrial cleaning and remediation of products developed on the above principles will also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2285618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Anthony Ingraffea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CEE,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7" w:anchor="2285618" w:history="1">
                    <w:r w:rsidRPr="0005639F">
                      <w:rPr>
                        <w:rFonts w:ascii="Times New Roman" w:eastAsia="Times New Roman" w:hAnsi="Times New Roman" w:cs="Times New Roman"/>
                        <w:color w:val="0000FF"/>
                        <w:sz w:val="20"/>
                        <w:szCs w:val="20"/>
                        <w:u w:val="single"/>
                      </w:rPr>
                      <w:t>Shale Gas: Unsolvable Local and Global Problems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We will explore some myths and realities concerning large-scale development of the unconventional natural gas resource in Marcellus and other shale deposits in the Northeast. On a local scale, these concern geological aspects of the plays, and the resulting development and use of directional drilling, high-volume, </w:t>
                  </w:r>
                  <w:r w:rsidRPr="0005639F">
                    <w:rPr>
                      <w:rFonts w:ascii="Times New Roman" w:eastAsia="Times New Roman" w:hAnsi="Times New Roman" w:cs="Times New Roman"/>
                      <w:sz w:val="20"/>
                      <w:szCs w:val="20"/>
                    </w:rPr>
                    <w:lastRenderedPageBreak/>
                    <w:t>slickwater, hydraulic fracturing, multi-well pad arrangements, and the impacts of these technologies and their required ancillary infrastructure on waste production and disposal, and on contamination of water supplies. On a global scale, we will also explore the cumulative impact of unconventional gas development on greenhouse gas loading of the atmosphere.</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2286248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Cara Cawley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Tara F. Kahan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Le Moyne College, Endwell, NY, United States. </w:t>
                  </w:r>
                  <w:r w:rsidRPr="0005639F">
                    <w:rPr>
                      <w:rFonts w:ascii="Times New Roman" w:eastAsia="Times New Roman" w:hAnsi="Times New Roman" w:cs="Times New Roman"/>
                      <w:sz w:val="20"/>
                      <w:szCs w:val="20"/>
                    </w:rPr>
                    <w:br/>
                    <w:t xml:space="preserve">2.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8" w:anchor="2286248" w:history="1">
                    <w:r w:rsidRPr="0005639F">
                      <w:rPr>
                        <w:rFonts w:ascii="Times New Roman" w:eastAsia="Times New Roman" w:hAnsi="Times New Roman" w:cs="Times New Roman"/>
                        <w:b/>
                        <w:bCs/>
                        <w:color w:val="0000FF"/>
                        <w:sz w:val="20"/>
                        <w:szCs w:val="20"/>
                        <w:u w:val="single"/>
                      </w:rPr>
                      <w:t>Photolysis of Organic Pollutants in Freshwater and Seawater</w:t>
                    </w:r>
                    <w:r w:rsidRPr="0005639F">
                      <w:rPr>
                        <w:rFonts w:ascii="Times New Roman" w:eastAsia="Times New Roman" w:hAnsi="Times New Roman" w:cs="Times New Roman"/>
                        <w:color w:val="0000FF"/>
                        <w:sz w:val="20"/>
                        <w:szCs w:val="20"/>
                        <w:u w:val="single"/>
                      </w:rPr>
                      <w:br/>
                      <w:t>Cara Cawley and Tara F. Kahan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b/>
                      <w:bCs/>
                      <w:sz w:val="20"/>
                      <w:szCs w:val="20"/>
                    </w:rPr>
                    <w:t>Abstract</w:t>
                  </w:r>
                  <w:r w:rsidRPr="0005639F">
                    <w:rPr>
                      <w:rFonts w:ascii="Times New Roman" w:eastAsia="Times New Roman" w:hAnsi="Times New Roman" w:cs="Times New Roman"/>
                      <w:sz w:val="20"/>
                      <w:szCs w:val="20"/>
                    </w:rPr>
                    <w:br/>
                    <w:t>Polycyclic aromatic hydrocarbons (PAHs) are mutagenic and carcinogenic pollutants. Their reaction products in the environment are often more toxic than the parent compounds. We measured the photolysis kinetics of the PAHs anthracene and pyrene in different aqueous solutions used as proxies for freshwater and ocean water environments. Anthracene photolysis was faster in a model seawater solution than in deionized water, while pyrene photolysis was slower. We determined that ionic species including halide salts and sulfate had the greatest effects on PAH photolysis rates in sea water solutions, although the ionic species affected anthracene and pyrene photolysis rates differently.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7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2286312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Yelda Hangun-Balkir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Biochemistry, Manhattan College, Bronx,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09" w:anchor="2286312" w:history="1">
                    <w:r w:rsidRPr="0005639F">
                      <w:rPr>
                        <w:rFonts w:ascii="Times New Roman" w:eastAsia="Times New Roman" w:hAnsi="Times New Roman" w:cs="Times New Roman"/>
                        <w:b/>
                        <w:bCs/>
                        <w:color w:val="0000FF"/>
                        <w:sz w:val="20"/>
                        <w:szCs w:val="20"/>
                        <w:u w:val="single"/>
                      </w:rPr>
                      <w:t xml:space="preserve">Application of Heterogeneous Catalyst Systems for Biodiesel Synthesis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predicted shortage of fossil fuels and related environmental concerns has attracted significant attention to the issues concerning the conversion of biomass into fuels. Biofuels have already made an impact as a potential substitute for the fossil fuels, however there is still much that can be done to improve the production. One </w:t>
                  </w:r>
                  <w:r w:rsidRPr="0005639F">
                    <w:rPr>
                      <w:rFonts w:ascii="Times New Roman" w:eastAsia="Times New Roman" w:hAnsi="Times New Roman" w:cs="Times New Roman"/>
                      <w:sz w:val="20"/>
                      <w:szCs w:val="20"/>
                    </w:rPr>
                    <w:lastRenderedPageBreak/>
                    <w:t>of the best approaches to improve the production of biodiesel is to develop an environmentally benign catalyst system that will selectively increase the biofuel yield. Both homogeneous and heterogeneous catalyst systems are successful but heterogeneous catalysts draw attention due to lower price, regeneration and reuse. In this study, used, wasted shells were utilized as the heterogeneous catalysts in the transesterification reaction of various oils and methanol for biofuel production. Soybean oil, waste cooking oil, camelina oil and coffee oil were chosen as feedstocks. The goal is to have a cleaner and more environmentally benign method of producing biofuels.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2287295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Nabil Khan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Tara F. Kahan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University, Bronx, NY, United States. </w:t>
                  </w:r>
                  <w:r w:rsidRPr="0005639F">
                    <w:rPr>
                      <w:rFonts w:ascii="Times New Roman" w:eastAsia="Times New Roman" w:hAnsi="Times New Roman" w:cs="Times New Roman"/>
                      <w:sz w:val="20"/>
                      <w:szCs w:val="20"/>
                    </w:rPr>
                    <w:br/>
                    <w:t xml:space="preserve">2.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0" w:anchor="2287295" w:history="1">
                    <w:r w:rsidRPr="0005639F">
                      <w:rPr>
                        <w:rFonts w:ascii="Times New Roman" w:eastAsia="Times New Roman" w:hAnsi="Times New Roman" w:cs="Times New Roman"/>
                        <w:color w:val="0000FF"/>
                        <w:sz w:val="20"/>
                        <w:szCs w:val="20"/>
                        <w:u w:val="single"/>
                      </w:rPr>
                      <w:t>Photochemistry of Urban Grime: Implications for the fate of organic pollutants in cities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Urban surfaces such as roads and buildings are often coated with “urban grime”, which consists of complex mixtures of inorganics and organics. The heterogeneous chemistry that may occur on these poorly-characterized reaction media could affect the fate of atmospheric pollutants and air quality. We have studied the photochemical and photophysical features of urban grime to help us understand its behavior as a reaction medium. Raman microscopy and scanning electron microscopy were used to show that urban grime is a collection of particles rather than a homogeneous film, as is commonly believed. We have demonstrated that urban grime absorbs sunlight, and that its absorption spectrum changes after being irradiated by simulated sunlight. Different components of urban grime undergo photolysis at different rates. We have also investigated the effects of urban grime on the photolysis kinetics of organic pollutants. These results suggest that urban grime could affect the photochemical fate of atmospheric species in cities.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2290604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David Miller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Meredith Hastings</w:t>
                  </w:r>
                  <w:r w:rsidRPr="0005639F">
                    <w:rPr>
                      <w:rFonts w:ascii="Times New Roman" w:eastAsia="Times New Roman" w:hAnsi="Times New Roman" w:cs="Times New Roman"/>
                      <w:sz w:val="20"/>
                      <w:szCs w:val="20"/>
                      <w:vertAlign w:val="superscript"/>
                    </w:rPr>
                    <w:t>3, 1</w:t>
                  </w:r>
                  <w:r w:rsidRPr="0005639F">
                    <w:rPr>
                      <w:rFonts w:ascii="Times New Roman" w:eastAsia="Times New Roman" w:hAnsi="Times New Roman" w:cs="Times New Roman"/>
                      <w:sz w:val="20"/>
                      <w:szCs w:val="20"/>
                    </w:rPr>
                    <w:t>, Richard Peltier</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Institute at Brown for Environment and Society, Brown University, Providence, RI, United States. </w:t>
                  </w:r>
                  <w:r w:rsidRPr="0005639F">
                    <w:rPr>
                      <w:rFonts w:ascii="Times New Roman" w:eastAsia="Times New Roman" w:hAnsi="Times New Roman" w:cs="Times New Roman"/>
                      <w:sz w:val="20"/>
                      <w:szCs w:val="20"/>
                    </w:rPr>
                    <w:br/>
                    <w:t xml:space="preserve">2. Environmental Health Sciences, University of Massachusetts, Amherst, MA, United States. </w:t>
                  </w:r>
                  <w:r w:rsidRPr="0005639F">
                    <w:rPr>
                      <w:rFonts w:ascii="Times New Roman" w:eastAsia="Times New Roman" w:hAnsi="Times New Roman" w:cs="Times New Roman"/>
                      <w:sz w:val="20"/>
                      <w:szCs w:val="20"/>
                    </w:rPr>
                    <w:br/>
                    <w:t xml:space="preserve">3. Earth, Environmental and Planetary Sciences, Brown University, Providence, RI,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1" w:anchor="2290604" w:history="1">
                    <w:r w:rsidRPr="0005639F">
                      <w:rPr>
                        <w:rFonts w:ascii="Times New Roman" w:eastAsia="Times New Roman" w:hAnsi="Times New Roman" w:cs="Times New Roman"/>
                        <w:b/>
                        <w:bCs/>
                        <w:color w:val="0000FF"/>
                        <w:sz w:val="20"/>
                        <w:szCs w:val="20"/>
                        <w:u w:val="single"/>
                      </w:rPr>
                      <w:t>Spatio-temporal variability in isotopic signatures of atmospheric NO</w:t>
                    </w:r>
                    <w:r w:rsidRPr="0005639F">
                      <w:rPr>
                        <w:rFonts w:ascii="Times New Roman" w:eastAsia="Times New Roman" w:hAnsi="Times New Roman" w:cs="Times New Roman"/>
                        <w:b/>
                        <w:bCs/>
                        <w:color w:val="0000FF"/>
                        <w:sz w:val="20"/>
                        <w:szCs w:val="20"/>
                        <w:u w:val="single"/>
                        <w:vertAlign w:val="subscript"/>
                      </w:rPr>
                      <w:t>x</w:t>
                    </w:r>
                    <w:r w:rsidRPr="0005639F">
                      <w:rPr>
                        <w:rFonts w:ascii="Times New Roman" w:eastAsia="Times New Roman" w:hAnsi="Times New Roman" w:cs="Times New Roman"/>
                        <w:b/>
                        <w:bCs/>
                        <w:color w:val="0000FF"/>
                        <w:sz w:val="20"/>
                        <w:szCs w:val="20"/>
                        <w:u w:val="single"/>
                      </w:rPr>
                      <w:t xml:space="preserve"> emissions from vehicles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r>
                  <w:r w:rsidRPr="0005639F">
                    <w:rPr>
                      <w:rFonts w:ascii="Times New Roman" w:eastAsia="Times New Roman" w:hAnsi="Times New Roman" w:cs="Times New Roman"/>
                      <w:b/>
                      <w:bCs/>
                      <w:sz w:val="20"/>
                      <w:szCs w:val="20"/>
                    </w:rPr>
                    <w:lastRenderedPageBreak/>
                    <w:t xml:space="preserve">Abstract: </w:t>
                  </w:r>
                  <w:r w:rsidRPr="0005639F">
                    <w:rPr>
                      <w:rFonts w:ascii="Times New Roman" w:eastAsia="Times New Roman" w:hAnsi="Times New Roman" w:cs="Times New Roman"/>
                      <w:sz w:val="20"/>
                      <w:szCs w:val="20"/>
                    </w:rPr>
                    <w:t>Atmospheric nitrogen oxides (NO</w:t>
                  </w:r>
                  <w:r w:rsidRPr="0005639F">
                    <w:rPr>
                      <w:rFonts w:ascii="Times New Roman" w:eastAsia="Times New Roman" w:hAnsi="Times New Roman" w:cs="Times New Roman"/>
                      <w:sz w:val="20"/>
                      <w:szCs w:val="20"/>
                      <w:vertAlign w:val="subscript"/>
                    </w:rPr>
                    <w:t xml:space="preserve">x </w:t>
                  </w:r>
                  <w:r w:rsidRPr="0005639F">
                    <w:rPr>
                      <w:rFonts w:ascii="Times New Roman" w:eastAsia="Times New Roman" w:hAnsi="Times New Roman" w:cs="Times New Roman"/>
                      <w:sz w:val="20"/>
                      <w:szCs w:val="20"/>
                    </w:rPr>
                    <w:t>= NO +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are important species in the reactive nitrogen cycle that play key roles in atmospheric chemistry, contributing to tropospheric ozone formation and enhancing atmospheric oxidants that regulate trace gas lifetimes including methane, a potent greenhouse gas.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is removed from the atmospheric by oxidation to nitric acid (HNO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or nitrate (NO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which is readily deposited via wet and dry deposition to terrestrial and aquatic ecosystems. Vehicle combustion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emissions have uncertain contributions to regional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source budgets and NO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vertAlign w:val="superscript"/>
                    </w:rPr>
                    <w:t xml:space="preserve">- </w:t>
                  </w:r>
                  <w:r w:rsidRPr="0005639F">
                    <w:rPr>
                      <w:rFonts w:ascii="Times New Roman" w:eastAsia="Times New Roman" w:hAnsi="Times New Roman" w:cs="Times New Roman"/>
                      <w:sz w:val="20"/>
                      <w:szCs w:val="20"/>
                    </w:rPr>
                    <w:t>deposition.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isotopic signatures offer the potential for a new observational constraint to trace vehicle NO</w:t>
                  </w:r>
                  <w:r w:rsidRPr="0005639F">
                    <w:rPr>
                      <w:rFonts w:ascii="Times New Roman" w:eastAsia="Times New Roman" w:hAnsi="Times New Roman" w:cs="Times New Roman"/>
                      <w:sz w:val="20"/>
                      <w:szCs w:val="20"/>
                      <w:vertAlign w:val="subscript"/>
                    </w:rPr>
                    <w:t xml:space="preserve">x </w:t>
                  </w:r>
                  <w:r w:rsidRPr="0005639F">
                    <w:rPr>
                      <w:rFonts w:ascii="Times New Roman" w:eastAsia="Times New Roman" w:hAnsi="Times New Roman" w:cs="Times New Roman"/>
                      <w:sz w:val="20"/>
                      <w:szCs w:val="20"/>
                    </w:rPr>
                    <w:t>emission impacts on regional NO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deposition. We characterize the spatio-temporal variability of vehicle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emission nitrogen isotopic composition (δ</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 –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with a new technique for actively capturing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in a potassium permanganate, sodium hydroxide solution to quantify the nitrogen isotopic composition to within 1.5‰ precision (1σ). On-road mobile, stationary roadside and laboratory smog chamber measurements are performed at minutes to hourly resolution to characterize in-situ, spatio-temporal variability of δ</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signatures in laboratory-controlled and in-situ vehicle emission plumes under realistic driving conditions. We present novel on-road spatial gradient observations of vehicle emission δ</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 –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signatures on highways in the northeastern U.S. and temporally-resolved δ</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 –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observations downwind of a major interstate highway in Providence, RI. We find on-road δ</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 –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signatures are all negative and span a narrow range (-6.4 to -9.6‰), even for differing traffic conditions in the U.S. Northeast. Diesel truck route on-road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emission samples have consistent δ</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values that are more negative than other on-road samples, suggesting diesel vehicle emissions have more negative δ</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 –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than gasoline dominated sources. Our controlled laboratory smog chamber measurements also show consistent δ</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 –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differences between diesel and gasoline generator exhaust and characterize these signatures under different combustion and engine load conditions. These δ</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 –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vehicle emission observations have important implications for informing emission inventories, atmospheric chemistry modeling, and constraining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source contributions to NO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deposition.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2291856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Urs Jans</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Xianmiao Zhang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John H. Wilson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Department, City College of New York, New York, NY, United States. </w:t>
                  </w:r>
                  <w:r w:rsidRPr="0005639F">
                    <w:rPr>
                      <w:rFonts w:ascii="Times New Roman" w:eastAsia="Times New Roman" w:hAnsi="Times New Roman" w:cs="Times New Roman"/>
                      <w:sz w:val="20"/>
                      <w:szCs w:val="20"/>
                    </w:rPr>
                    <w:br/>
                    <w:t xml:space="preserve">2. Chemistry, Graduate Center of the City University,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2" w:anchor="2291856" w:history="1">
                    <w:r w:rsidRPr="0005639F">
                      <w:rPr>
                        <w:rFonts w:ascii="Times New Roman" w:eastAsia="Times New Roman" w:hAnsi="Times New Roman" w:cs="Times New Roman"/>
                        <w:color w:val="0000FF"/>
                        <w:sz w:val="20"/>
                        <w:szCs w:val="20"/>
                        <w:u w:val="single"/>
                      </w:rPr>
                      <w:t>Isomer specific reaction of HBCD with reduced sulfur species in aqueous solution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Hexabromocyclododecane (HBCD) is a brominated flame retardant widely used in polystyrene and textile products. Technical HBCD consists mainly of three diastereoisomers: α, β, and γ. HBCD is persistent and little is known about abiotic and biotic degradation reactions. Although the γ-HBCD is the dominant isomer in technical HBCD, the α-isomer is the isomer found at the highest concentration in biological samples. In this work we investigated the reaction of the individual HBCD-isomers with reduced sulfur species (bisulfide, polysulfide) in aqueous solutions. The experiments indicate that the γ-isomer and β-isomers are reacting significantly faster with reduced sulfur species than the α-isomer.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2291944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Yuting Zhu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Miller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David J. Kieber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College of Environmental Science and Forestry, State University of New York, Syracuse, NY, United States. </w:t>
                  </w:r>
                  <w:r w:rsidRPr="0005639F">
                    <w:rPr>
                      <w:rFonts w:ascii="Times New Roman" w:eastAsia="Times New Roman" w:hAnsi="Times New Roman" w:cs="Times New Roman"/>
                      <w:sz w:val="20"/>
                      <w:szCs w:val="20"/>
                    </w:rPr>
                    <w:br/>
                    <w:t xml:space="preserve">2. Department of Marine Sciences, University of Georgia , Athens, GA,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3" w:anchor="2291944" w:history="1">
                    <w:r w:rsidRPr="0005639F">
                      <w:rPr>
                        <w:rFonts w:ascii="Times New Roman" w:eastAsia="Times New Roman" w:hAnsi="Times New Roman" w:cs="Times New Roman"/>
                        <w:color w:val="0000FF"/>
                        <w:sz w:val="20"/>
                        <w:szCs w:val="20"/>
                        <w:u w:val="single"/>
                      </w:rPr>
                      <w:t>Long-term Photochemical Accumulation of LMW Carbonyl Compounds from Refractory Dissolved Organic Carbon in the Deep Pacific Ocean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deep Pacific Ocean contains mostly old, biologically refractory carbon, some of the oldest carbon in the oceans, with an average </w:t>
                  </w:r>
                  <w:r w:rsidRPr="0005639F">
                    <w:rPr>
                      <w:rFonts w:ascii="Times New Roman" w:eastAsia="Times New Roman" w:hAnsi="Times New Roman" w:cs="Times New Roman"/>
                      <w:sz w:val="20"/>
                      <w:szCs w:val="20"/>
                      <w:vertAlign w:val="superscript"/>
                    </w:rPr>
                    <w:t>14</w:t>
                  </w:r>
                  <w:r w:rsidRPr="0005639F">
                    <w:rPr>
                      <w:rFonts w:ascii="Times New Roman" w:eastAsia="Times New Roman" w:hAnsi="Times New Roman" w:cs="Times New Roman"/>
                      <w:sz w:val="20"/>
                      <w:szCs w:val="20"/>
                    </w:rPr>
                    <w:t>C age &gt; 6000 years. Little is known about the extremely slow turnover of this biological refractory carbon. Photochemical processes have been suggested to be important pathways for the removal of this refractory DOC when it cycles back into the sunlit surface layer of the oceans. However, this supposition has not been tested comprehensively. Previous estimates of the oceanic residence time for refractory DOC due to photochemical degradation pathways were based on assumptions that are worthy of further investigation. One such assumption is that the photochemical production of low molecular weight (LMW) carbon species during short-term irradiations is a good approximation for the overall photochemical degradation rates of refractory DOC over long-term timescales. To test this assumption, deep seawater samples (&gt;4000m) were collected from the Gulf of Alaska during the Deep Ocean Refractory Carbon (DORC) cruise in August 2013. LMW carbonyl compounds were measured during 24 h irradiations of 0.2µm filtered seawater with a Xe lamp-based solar simulator. Acetaldehyde, glyoxal, and methylglyoxal were the three major photoproducts produced during photochemical exposures. Accumulation of acetaldehyde and glyoxal stopped after 12 h of constant irradiation, while methylglyoxal production was no longer observed after the first 2 h of exposure. This study suggests that the assumption that photoproduction rates are constant over time is likely not correct, and therefore photochemical loss of aged, refractory DOC in the photic zone likely overestimates the photoreactivity of DOC, and is not nearly as important in the removal of this carbon as previously proposed. However, this conclusion neglects direct or indirect photolysis of LMW carbonyl compounds, which needs elucidation by further research.</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2292101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Alexis R. Attwood</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Margaret E. Greenslade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University of New Hampshire, Durham, NH, United States. </w:t>
                  </w:r>
                  <w:r w:rsidRPr="0005639F">
                    <w:rPr>
                      <w:rFonts w:ascii="Times New Roman" w:eastAsia="Times New Roman" w:hAnsi="Times New Roman" w:cs="Times New Roman"/>
                      <w:sz w:val="20"/>
                      <w:szCs w:val="20"/>
                    </w:rPr>
                    <w:br/>
                    <w:t xml:space="preserve">2. Horiba, Ltd. , Hudson, NH,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4" w:anchor="2292101" w:history="1">
                    <w:r w:rsidRPr="0005639F">
                      <w:rPr>
                        <w:rFonts w:ascii="Times New Roman" w:eastAsia="Times New Roman" w:hAnsi="Times New Roman" w:cs="Times New Roman"/>
                        <w:color w:val="0000FF"/>
                        <w:sz w:val="20"/>
                        <w:szCs w:val="20"/>
                        <w:u w:val="single"/>
                      </w:rPr>
                      <w:t>Optical detection of evaporation from organic aerosols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Size dependent evaporation from aerosols is well known and is described by the Kelvin equation. Using cavity ring down spectroscopy at 532 nm, extinction enhancements at elevated relative humidity, f(RH), were measured for aerosols composed of three pure, atmospherically relevant dicarboxylic acids - glutaric, succinic and malonic acids. Four accumulation mode sizes were investigated for each chemical. The results reveal evaporation from pure glutaric acid particles as large as 350 nm in diameter. A model was created using Mie theory, the Kelvin equation, growth factors and volume dilution of the refractive index. The model results are in good agreement with the experimental measurements. These observations may help to improve our understanding of evaporation of </w:t>
                  </w:r>
                  <w:r w:rsidRPr="0005639F">
                    <w:rPr>
                      <w:rFonts w:ascii="Times New Roman" w:eastAsia="Times New Roman" w:hAnsi="Times New Roman" w:cs="Times New Roman"/>
                      <w:sz w:val="20"/>
                      <w:szCs w:val="20"/>
                    </w:rPr>
                    <w:lastRenderedPageBreak/>
                    <w:t>organic compounds from aerosols and the unusual properties of dicarboxylic acids.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2292166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Nathan C. Eddingsaas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Breanna Jewell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Emily Thurnherr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Camela Kiernan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Foster West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Geronimo Kelley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School of Chemistry and Materials Science, Rochester Institute of Technology,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5" w:anchor="2292166" w:history="1">
                    <w:r w:rsidRPr="0005639F">
                      <w:rPr>
                        <w:rFonts w:ascii="Times New Roman" w:eastAsia="Times New Roman" w:hAnsi="Times New Roman" w:cs="Times New Roman"/>
                        <w:color w:val="0000FF"/>
                        <w:sz w:val="20"/>
                        <w:szCs w:val="20"/>
                        <w:u w:val="single"/>
                      </w:rPr>
                      <w:t>Near-IR Broadband Cavity Enhanced Absorption Spectroscopy for the detection of atmospheric oxidation products and amines – Development and improvements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To better understand oxidation of volatile organic compounds (VOCs) in the atmosphere techniques need to be developed to detect and quantify the oxidation products. Of particular importance are the labile products such as hydroperoxides that have proven difficult to detect do to decomposition during analysis. Spectroscopy is well suited for detection of these labile species as it is nondestructive. We have developed a Broadband Cavity Enhanced Absorption Spectroscopy (BBCEAS) technique in the near-IR for the detection of oxidized VOCs by observing their vibrational overtones. The long effective path length allows for detection in the parts per billion and the use of vibrational overtones in the near-IR allows us to simultaneously and continuously detect alcohols, carboxylic acids, and hydroperoxides in one spectral window. In addition, this technique allows for the detection of amines, a class of VOCs that have proven difficult to detect in real time.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2292209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Shawn Kowal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6" w:anchor="2292209" w:history="1">
                    <w:r w:rsidRPr="0005639F">
                      <w:rPr>
                        <w:rFonts w:ascii="Times New Roman" w:eastAsia="Times New Roman" w:hAnsi="Times New Roman" w:cs="Times New Roman"/>
                        <w:b/>
                        <w:bCs/>
                        <w:color w:val="0000FF"/>
                        <w:sz w:val="20"/>
                        <w:szCs w:val="20"/>
                        <w:u w:val="single"/>
                      </w:rPr>
                      <w:t>Assessing the Role of Light Sources on Indoor Hydroxyl Radical Production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Air quality and its links to public health are a major concern. However there is little knowledge on chemical processes that occur indoors. Photochemistry is a major processing route for chemicals outdoors and a source of hydroxyl radicals (OH), but has been largely overlooked as a process indoors. Recently nitrous acid (HONO) photolysis from sunlight filtered through windows has been reported to be an important indoor OH source. We have measured photon fluxes of various indoor light sources including incandescent, halogen, fluorescent and light emitting diode (LED) bulbs, and sunlight filtered through windows as a function of distance </w:t>
                  </w:r>
                  <w:r w:rsidRPr="0005639F">
                    <w:rPr>
                      <w:rFonts w:ascii="Times New Roman" w:eastAsia="Times New Roman" w:hAnsi="Times New Roman" w:cs="Times New Roman"/>
                      <w:sz w:val="20"/>
                      <w:szCs w:val="20"/>
                    </w:rPr>
                    <w:lastRenderedPageBreak/>
                    <w:t>from the source. Photon fluxes from artificial light sources varied inversely with distance, but did not follow the inverse square trend as seen with a point source. The relationship depended on the light bulb shape and the layout of the light bulbs within a room. Photon fluxes from sunlight at wavelengths shorter than 410 nm were significant only within the cone of direct illumination. We used our measured photon fluxes to calculate production rates of OH via photolysis of HONO, hydrogen peroxide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and ozone (O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Each of these compounds exists indoors, absorbs light at wavelengths shorter than 410 nm, and has the potential to form OH radicals. Under typical indoor residential conditions, HONO photolysis initiated by sunlight filtered through windows is the most important source of photochemical OH. Under high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concentrations observed after certain cleaning processes, OH production rates from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photolysis are orders of magnitude greater than all other methods combined.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2292316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Xiau Ya Huang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Magda Dallemagne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Nathan C. Eddingsaas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School of Chemistry and Materials Science, Rochester Institute of Technology, Flushing,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7" w:anchor="2292316" w:history="1">
                    <w:r w:rsidRPr="0005639F">
                      <w:rPr>
                        <w:rFonts w:ascii="Times New Roman" w:eastAsia="Times New Roman" w:hAnsi="Times New Roman" w:cs="Times New Roman"/>
                        <w:color w:val="0000FF"/>
                        <w:sz w:val="20"/>
                        <w:szCs w:val="20"/>
                        <w:u w:val="single"/>
                      </w:rPr>
                      <w:t>Detection of pH Variation in Atmospheric Aerosols during Liquid-Liquid Phase Separation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origin of many of the organic compounds within aerosols is still uncertain. Acid catalyzed reactions are thought to be important in the growth and aging of secondary organic aerosols (SOAs), and therefore understanding of the pH within an aerosol is important to understand. Liquid-liquid phase separation (LLPS) within atmospheric aerosols has been observed to occur as a result of differences in the solubility of aerosol components. While LLPS has been studied in terms of composition within aerosols, they have not been looked at in terms of pH. Due to the differing compositions within each phase, we believe that a pH gradient will also be observed. The variation in pH brought about by LLPS will have an effect on the rate of acid catalyzed reactions. Using confocal microscopy and pH sensitive dye we have studied the pH within model aerosols consisting of polyethylene glycol, ammonium sulfate, and water. By utilizing confocal microscopy we are able to determine the pH not only of the bulk but at individual points within the aerosol. The pH was observed to increase in the organic phase during LLPS. Using optical and confocal microscopy we have also studied the dynamic of LLPS formation and dissolution. In addition, we have studied the composition of all species in a single phase aerosol at high relative humidity as well as in individual phases during LLPS of this model aerosol as well as others consisting of polyols and dicarboxylic acids.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2292354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Xiaolong Fan</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Chong Qiu</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Alexei Khalizov</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Chemistry and Environmental Science, New Jersey Institute of Technology, Newark, NJ, United States. </w:t>
                  </w:r>
                  <w:r w:rsidRPr="0005639F">
                    <w:rPr>
                      <w:rFonts w:ascii="Times New Roman" w:eastAsia="Times New Roman" w:hAnsi="Times New Roman" w:cs="Times New Roman"/>
                      <w:sz w:val="20"/>
                      <w:szCs w:val="20"/>
                    </w:rPr>
                    <w:br/>
                    <w:t xml:space="preserve">2. University of North Alabama, Florence, AL, United States. </w:t>
                  </w:r>
                  <w:r w:rsidRPr="0005639F">
                    <w:rPr>
                      <w:rFonts w:ascii="Times New Roman" w:eastAsia="Times New Roman" w:hAnsi="Times New Roman" w:cs="Times New Roman"/>
                      <w:sz w:val="20"/>
                      <w:szCs w:val="20"/>
                    </w:rPr>
                    <w:br/>
                    <w:t xml:space="preserve">3. new jersey institute of technology, Harrison,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8" w:anchor="2292354" w:history="1">
                    <w:r w:rsidRPr="0005639F">
                      <w:rPr>
                        <w:rFonts w:ascii="Times New Roman" w:eastAsia="Times New Roman" w:hAnsi="Times New Roman" w:cs="Times New Roman"/>
                        <w:b/>
                        <w:bCs/>
                        <w:color w:val="0000FF"/>
                        <w:sz w:val="20"/>
                        <w:szCs w:val="20"/>
                        <w:u w:val="single"/>
                      </w:rPr>
                      <w:t>Thermochemical properties of mono-ethanolamine salts to assess the impact of carbon capture on particulate matter pollution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use of mono-ethanolamine (MEA) for scrubbing of carbon dioxide from combustion flue gases may become the dominant technology for carbon capture by 2030. The widespread implementation of this technology will result in emissions of MEA to the environment that may increase the loading and modify the properties of atmospheric aerosols. The increase in aerosol concentration may hinder re-designation of the New Jersey portions of two multi-state fine particulate matter nonattainment areas to attainment. We have utilized combined experimental and computational aerosol microphysics approaches to derive thermodynamic properties of MEA sulfate and carboxylate salts, potentially the dominant forms of MEA in atmospheric particles. The derived saturation vapor pressures, vaporization enthalpies, surface free energies, and hygroscopicities are used to evaluate the role of MEA in the aerosol and haze formation. The stability and haze forming potential of MEA salts depend strongly on the chemical nature of the acid counterpart. The data can be incorporated in air quality models to assess potential environmental impacts of the MEA-based carbon capture technology.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8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2292413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Joseph W. Bozzelli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Suarwee Snitsiriwat</w:t>
                  </w:r>
                  <w:r w:rsidRPr="0005639F">
                    <w:rPr>
                      <w:rFonts w:ascii="Times New Roman" w:eastAsia="Times New Roman" w:hAnsi="Times New Roman" w:cs="Times New Roman"/>
                      <w:sz w:val="20"/>
                      <w:szCs w:val="20"/>
                      <w:vertAlign w:val="superscript"/>
                    </w:rPr>
                    <w:t>1, 2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 New Jersey Institute Technology, Livingston, NJ, United States. </w:t>
                  </w:r>
                  <w:r w:rsidRPr="0005639F">
                    <w:rPr>
                      <w:rFonts w:ascii="Times New Roman" w:eastAsia="Times New Roman" w:hAnsi="Times New Roman" w:cs="Times New Roman"/>
                      <w:sz w:val="20"/>
                      <w:szCs w:val="20"/>
                    </w:rPr>
                    <w:br/>
                    <w:t xml:space="preserve">2. Chemistry, Essex County College, Newark,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19" w:anchor="2292413" w:history="1">
                    <w:r w:rsidRPr="0005639F">
                      <w:rPr>
                        <w:rFonts w:ascii="Times New Roman" w:eastAsia="Times New Roman" w:hAnsi="Times New Roman" w:cs="Times New Roman"/>
                        <w:color w:val="0000FF"/>
                        <w:sz w:val="20"/>
                        <w:szCs w:val="20"/>
                        <w:u w:val="single"/>
                      </w:rPr>
                      <w:t>Thermochemistry and Kinetic Modeling for OH Addition to Propene and 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 xml:space="preserve"> Association to the CH</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(OH)C.HCH</w:t>
                    </w:r>
                    <w:r w:rsidRPr="0005639F">
                      <w:rPr>
                        <w:rFonts w:ascii="Times New Roman" w:eastAsia="Times New Roman" w:hAnsi="Times New Roman" w:cs="Times New Roman"/>
                        <w:color w:val="0000FF"/>
                        <w:sz w:val="20"/>
                        <w:szCs w:val="20"/>
                        <w:u w:val="single"/>
                        <w:vertAlign w:val="subscript"/>
                      </w:rPr>
                      <w:t>3</w:t>
                    </w:r>
                    <w:r w:rsidRPr="0005639F">
                      <w:rPr>
                        <w:rFonts w:ascii="Times New Roman" w:eastAsia="Times New Roman" w:hAnsi="Times New Roman" w:cs="Times New Roman"/>
                        <w:color w:val="0000FF"/>
                        <w:sz w:val="20"/>
                        <w:szCs w:val="20"/>
                        <w:u w:val="single"/>
                      </w:rPr>
                      <w:t xml:space="preserve"> Adduct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Regeneration of OH radicals has recently been considered as an important process in atmospheric chemistry of unsaturated hydrocarbons, where current atmospheric modeling does not correctly predict levels during regeneration periods. The reaction of OH with propene and the subsequent reactions of the energized and stabilized hydroxypropyl radical adducts with 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are studied using density functional theory and CBS-QB3 ab initio theoretical methods. Enthalpies of formation (</w:t>
                  </w:r>
                  <w:r w:rsidRPr="0005639F">
                    <w:rPr>
                      <w:rFonts w:ascii="Times New Roman" w:eastAsia="Times New Roman" w:hAnsi="Times New Roman" w:cs="Times New Roman"/>
                      <w:i/>
                      <w:iCs/>
                      <w:sz w:val="20"/>
                      <w:szCs w:val="20"/>
                    </w:rPr>
                    <w:t>Δ</w:t>
                  </w:r>
                  <w:r w:rsidRPr="0005639F">
                    <w:rPr>
                      <w:rFonts w:ascii="Times New Roman" w:eastAsia="Times New Roman" w:hAnsi="Times New Roman" w:cs="Times New Roman"/>
                      <w:i/>
                      <w:iCs/>
                      <w:sz w:val="20"/>
                      <w:szCs w:val="20"/>
                      <w:vertAlign w:val="subscript"/>
                    </w:rPr>
                    <w:t>f</w:t>
                  </w:r>
                  <w:r w:rsidRPr="0005639F">
                    <w:rPr>
                      <w:rFonts w:ascii="Times New Roman" w:eastAsia="Times New Roman" w:hAnsi="Times New Roman" w:cs="Times New Roman"/>
                      <w:i/>
                      <w:iCs/>
                      <w:sz w:val="20"/>
                      <w:szCs w:val="20"/>
                    </w:rPr>
                    <w:t>H°</w:t>
                  </w:r>
                  <w:r w:rsidRPr="0005639F">
                    <w:rPr>
                      <w:rFonts w:ascii="Times New Roman" w:eastAsia="Times New Roman" w:hAnsi="Times New Roman" w:cs="Times New Roman"/>
                      <w:i/>
                      <w:iCs/>
                      <w:sz w:val="20"/>
                      <w:szCs w:val="20"/>
                      <w:vertAlign w:val="subscript"/>
                    </w:rPr>
                    <w:t>298</w:t>
                  </w:r>
                  <w:r w:rsidRPr="0005639F">
                    <w:rPr>
                      <w:rFonts w:ascii="Times New Roman" w:eastAsia="Times New Roman" w:hAnsi="Times New Roman" w:cs="Times New Roman"/>
                      <w:sz w:val="20"/>
                      <w:szCs w:val="20"/>
                    </w:rPr>
                    <w:t>) Entropies (</w:t>
                  </w:r>
                  <w:r w:rsidRPr="0005639F">
                    <w:rPr>
                      <w:rFonts w:ascii="Times New Roman" w:eastAsia="Times New Roman" w:hAnsi="Times New Roman" w:cs="Times New Roman"/>
                      <w:i/>
                      <w:iCs/>
                      <w:sz w:val="20"/>
                      <w:szCs w:val="20"/>
                    </w:rPr>
                    <w:t>S</w:t>
                  </w:r>
                  <w:r w:rsidRPr="0005639F">
                    <w:rPr>
                      <w:rFonts w:ascii="Times New Roman" w:eastAsia="Times New Roman" w:hAnsi="Times New Roman" w:cs="Times New Roman"/>
                      <w:sz w:val="20"/>
                      <w:szCs w:val="20"/>
                    </w:rPr>
                    <w:t>°298) and heat capacities (</w:t>
                  </w:r>
                  <w:r w:rsidRPr="0005639F">
                    <w:rPr>
                      <w:rFonts w:ascii="Times New Roman" w:eastAsia="Times New Roman" w:hAnsi="Times New Roman" w:cs="Times New Roman"/>
                      <w:i/>
                      <w:iCs/>
                      <w:sz w:val="20"/>
                      <w:szCs w:val="20"/>
                    </w:rPr>
                    <w:t>C</w:t>
                  </w:r>
                  <w:r w:rsidRPr="0005639F">
                    <w:rPr>
                      <w:rFonts w:ascii="Times New Roman" w:eastAsia="Times New Roman" w:hAnsi="Times New Roman" w:cs="Times New Roman"/>
                      <w:sz w:val="20"/>
                      <w:szCs w:val="20"/>
                    </w:rPr>
                    <w:t>°p(</w:t>
                  </w:r>
                  <w:r w:rsidRPr="0005639F">
                    <w:rPr>
                      <w:rFonts w:ascii="Times New Roman" w:eastAsia="Times New Roman" w:hAnsi="Times New Roman" w:cs="Times New Roman"/>
                      <w:i/>
                      <w:iCs/>
                      <w:sz w:val="20"/>
                      <w:szCs w:val="20"/>
                    </w:rPr>
                    <w:t>T</w:t>
                  </w:r>
                  <w:r w:rsidRPr="0005639F">
                    <w:rPr>
                      <w:rFonts w:ascii="Times New Roman" w:eastAsia="Times New Roman" w:hAnsi="Times New Roman" w:cs="Times New Roman"/>
                      <w:sz w:val="20"/>
                      <w:szCs w:val="20"/>
                    </w:rPr>
                    <w:t xml:space="preserve">)) are determined. Internal rotor contributions are included in </w:t>
                  </w:r>
                  <w:r w:rsidRPr="0005639F">
                    <w:rPr>
                      <w:rFonts w:ascii="Times New Roman" w:eastAsia="Times New Roman" w:hAnsi="Times New Roman" w:cs="Times New Roman"/>
                      <w:i/>
                      <w:iCs/>
                      <w:sz w:val="20"/>
                      <w:szCs w:val="20"/>
                    </w:rPr>
                    <w:t xml:space="preserve">S </w:t>
                  </w:r>
                  <w:r w:rsidRPr="0005639F">
                    <w:rPr>
                      <w:rFonts w:ascii="Times New Roman" w:eastAsia="Times New Roman" w:hAnsi="Times New Roman" w:cs="Times New Roman"/>
                      <w:sz w:val="20"/>
                      <w:szCs w:val="20"/>
                    </w:rPr>
                    <w:t xml:space="preserve">and </w:t>
                  </w:r>
                  <w:r w:rsidRPr="0005639F">
                    <w:rPr>
                      <w:rFonts w:ascii="Times New Roman" w:eastAsia="Times New Roman" w:hAnsi="Times New Roman" w:cs="Times New Roman"/>
                      <w:i/>
                      <w:iCs/>
                      <w:sz w:val="20"/>
                      <w:szCs w:val="20"/>
                    </w:rPr>
                    <w:t>C</w:t>
                  </w:r>
                  <w:r w:rsidRPr="0005639F">
                    <w:rPr>
                      <w:rFonts w:ascii="Times New Roman" w:eastAsia="Times New Roman" w:hAnsi="Times New Roman" w:cs="Times New Roman"/>
                      <w:sz w:val="20"/>
                      <w:szCs w:val="20"/>
                    </w:rPr>
                    <w:t>p(</w:t>
                  </w:r>
                  <w:r w:rsidRPr="0005639F">
                    <w:rPr>
                      <w:rFonts w:ascii="Times New Roman" w:eastAsia="Times New Roman" w:hAnsi="Times New Roman" w:cs="Times New Roman"/>
                      <w:i/>
                      <w:iCs/>
                      <w:sz w:val="20"/>
                      <w:szCs w:val="20"/>
                    </w:rPr>
                    <w:t>T</w:t>
                  </w:r>
                  <w:r w:rsidRPr="0005639F">
                    <w:rPr>
                      <w:rFonts w:ascii="Times New Roman" w:eastAsia="Times New Roman" w:hAnsi="Times New Roman" w:cs="Times New Roman"/>
                      <w:sz w:val="20"/>
                      <w:szCs w:val="20"/>
                    </w:rPr>
                    <w:t>) values. Detailed potential energy surfaces for these reactions and rate parameters are calculated for each reaction step from transition state theory. The chemically activated hydroxypropyl radical + 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adducts are modeled using quantum Rice-Ramsperger-Kassel (QRRK) theory, with master equation analysis for falloff. The reaction system is modeled using the CHEMKIN modeling program (v3.1) under conditions of atmospheric chemistry for varied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concentration using an elementary reaction mechanism with all reactions reversible.</w:t>
                  </w:r>
                  <w:r w:rsidRPr="0005639F">
                    <w:rPr>
                      <w:rFonts w:ascii="Times New Roman" w:eastAsia="Times New Roman" w:hAnsi="Times New Roman" w:cs="Times New Roman"/>
                      <w:sz w:val="20"/>
                      <w:szCs w:val="20"/>
                    </w:rPr>
                    <w:br/>
                    <w:t>Hydroxyl radical addition to propene forms an energized hydroxyl-propyl adduct with 29.2 kcal mol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of chemical activation energy from the new bond formation. The energized hydroxyl propyl radical can be stabilized, re-energized via collisions, or react further with 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(association) to form a second, new, energized adduct, which is a hydroxyl-propyl-peroxy adduct with an additional 36.1 kcal mol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before stabilization.</w:t>
                  </w:r>
                  <w:r w:rsidRPr="0005639F">
                    <w:rPr>
                      <w:rFonts w:ascii="Times New Roman" w:eastAsia="Times New Roman" w:hAnsi="Times New Roman" w:cs="Times New Roman"/>
                      <w:sz w:val="20"/>
                      <w:szCs w:val="20"/>
                    </w:rPr>
                    <w:br/>
                    <w:t>The further chemical activation reactions peroxy adduct with 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can lead to OH regeneration via two parallel paths: cyclic ether + OH and CH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 and CH</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CHO + OH formation paths. Data is presented for different ΔE down step </w:t>
                  </w:r>
                  <w:r w:rsidRPr="0005639F">
                    <w:rPr>
                      <w:rFonts w:ascii="Times New Roman" w:eastAsia="Times New Roman" w:hAnsi="Times New Roman" w:cs="Times New Roman"/>
                      <w:sz w:val="20"/>
                      <w:szCs w:val="20"/>
                    </w:rPr>
                    <w:lastRenderedPageBreak/>
                    <w:t>sizes and for presence of varied NO concentrations.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2292534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Joseph W. Bozzelli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Francisco Guzman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Itsaso Auzmendi Murua</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 New Jersey Institute Technology, Livingston, NJ, United States. </w:t>
                  </w:r>
                  <w:r w:rsidRPr="0005639F">
                    <w:rPr>
                      <w:rFonts w:ascii="Times New Roman" w:eastAsia="Times New Roman" w:hAnsi="Times New Roman" w:cs="Times New Roman"/>
                      <w:sz w:val="20"/>
                      <w:szCs w:val="20"/>
                    </w:rPr>
                    <w:br/>
                    <w:t xml:space="preserve">2. Chemican Engineering, New Jersey Institute of Technology, Sunnyside, NY, United States. </w:t>
                  </w:r>
                  <w:r w:rsidRPr="0005639F">
                    <w:rPr>
                      <w:rFonts w:ascii="Times New Roman" w:eastAsia="Times New Roman" w:hAnsi="Times New Roman" w:cs="Times New Roman"/>
                      <w:sz w:val="20"/>
                      <w:szCs w:val="20"/>
                    </w:rPr>
                    <w:br/>
                    <w:t xml:space="preserve">3. Chemical Engineering , New Jersey Institute Technology, Newark,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0" w:anchor="2292534" w:history="1">
                    <w:r w:rsidRPr="0005639F">
                      <w:rPr>
                        <w:rFonts w:ascii="Times New Roman" w:eastAsia="Times New Roman" w:hAnsi="Times New Roman" w:cs="Times New Roman"/>
                        <w:b/>
                        <w:bCs/>
                        <w:color w:val="0000FF"/>
                        <w:sz w:val="20"/>
                        <w:szCs w:val="20"/>
                        <w:u w:val="single"/>
                      </w:rPr>
                      <w:t>Enthalpies of Formation, Reaction Enthalpies, and Bond Dissociation Enthalpies of Mercury, Halogen (Cl, Br, F, I), Hydroxyl, and Sulfur Oxides: A Theoretical Study</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Mercury is a major contaminant in the environment. The thermochemistry of mercury compounds is important to understanding the reactions of mercury in both atmospheric and in process plant and combustion effluent gases, where its presence as an element or an oxidized compound can effect emission levels. Reduction in emissions of CO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NOx, SOx and heavy metals is one of the major challenges facing incineration and electric generating plants and a cost effective control may relate to their continued operation. Mercury is a major metal species, with current emissions of elemental mercury on the order of 2475 tons per year; these emissions are growing with increased coal use. One method of reducing mercury emissions is use of halogens (X</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to convert Hg(g) to HgX</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which can be collected in air pollution control devices. In this study we develop thermochemical properties of the mercury, halogen, hydroxyl and sulfur oxide species, in order to have a better understanding of their interactions in combustion effluent environment. The thermochemical properties (∆</w:t>
                  </w:r>
                  <w:r w:rsidRPr="0005639F">
                    <w:rPr>
                      <w:rFonts w:ascii="Times New Roman" w:eastAsia="Times New Roman" w:hAnsi="Times New Roman" w:cs="Times New Roman"/>
                      <w:sz w:val="20"/>
                      <w:szCs w:val="20"/>
                      <w:vertAlign w:val="subscript"/>
                    </w:rPr>
                    <w:t>f</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perscript"/>
                    </w:rPr>
                    <w:t>o</w:t>
                  </w:r>
                  <w:r w:rsidRPr="0005639F">
                    <w:rPr>
                      <w:rFonts w:ascii="Times New Roman" w:eastAsia="Times New Roman" w:hAnsi="Times New Roman" w:cs="Times New Roman"/>
                      <w:sz w:val="20"/>
                      <w:szCs w:val="20"/>
                      <w:vertAlign w:val="subscript"/>
                    </w:rPr>
                    <w:t>298</w:t>
                  </w:r>
                  <w:r w:rsidRPr="0005639F">
                    <w:rPr>
                      <w:rFonts w:ascii="Times New Roman" w:eastAsia="Times New Roman" w:hAnsi="Times New Roman" w:cs="Times New Roman"/>
                      <w:sz w:val="20"/>
                      <w:szCs w:val="20"/>
                    </w:rPr>
                    <w:t>, S</w:t>
                  </w:r>
                  <w:r w:rsidRPr="0005639F">
                    <w:rPr>
                      <w:rFonts w:ascii="Times New Roman" w:eastAsia="Times New Roman" w:hAnsi="Times New Roman" w:cs="Times New Roman"/>
                      <w:sz w:val="20"/>
                      <w:szCs w:val="20"/>
                      <w:vertAlign w:val="superscript"/>
                    </w:rPr>
                    <w:t>o</w:t>
                  </w:r>
                  <w:r w:rsidRPr="0005639F">
                    <w:rPr>
                      <w:rFonts w:ascii="Times New Roman" w:eastAsia="Times New Roman" w:hAnsi="Times New Roman" w:cs="Times New Roman"/>
                      <w:sz w:val="20"/>
                      <w:szCs w:val="20"/>
                      <w:vertAlign w:val="subscript"/>
                    </w:rPr>
                    <w:t>298</w:t>
                  </w:r>
                  <w:r w:rsidRPr="0005639F">
                    <w:rPr>
                      <w:rFonts w:ascii="Times New Roman" w:eastAsia="Times New Roman" w:hAnsi="Times New Roman" w:cs="Times New Roman"/>
                      <w:sz w:val="20"/>
                      <w:szCs w:val="20"/>
                    </w:rPr>
                    <w:t>, and Cp(T)) and bond dissociation enthalpies (BDEs) for ClSOx, BrSOx, HgSOx, ClHgSOx, BrHgSOx, HgClSO, HgBrSO, HOHgY (Y = Br, Cl, F, I) are reported. The: CBS-QB3, B3LYP, B2PLYP, ωB97X, M06 and M06-2X calculation methods with basis sets, SDD, LANL2DZ</w:t>
                  </w:r>
                  <w:r w:rsidRPr="0005639F">
                    <w:rPr>
                      <w:rFonts w:ascii="Times New Roman" w:eastAsia="Times New Roman" w:hAnsi="Times New Roman" w:cs="Times New Roman"/>
                      <w:i/>
                      <w:iCs/>
                      <w:sz w:val="20"/>
                      <w:szCs w:val="20"/>
                    </w:rPr>
                    <w:t xml:space="preserve">, and </w:t>
                  </w:r>
                  <w:r w:rsidRPr="0005639F">
                    <w:rPr>
                      <w:rFonts w:ascii="Times New Roman" w:eastAsia="Times New Roman" w:hAnsi="Times New Roman" w:cs="Times New Roman"/>
                      <w:sz w:val="20"/>
                      <w:szCs w:val="20"/>
                    </w:rPr>
                    <w:t>aug-cc-pVTZ-PP were evaluated against experimental data in order to find a suitable method. Work reactions were utilized to improve accuracy. Entropy and heat capacity values as a function of temperature were calculated with standard formulas from statistical mechanics. Results show that the Hg—SOx bonds can be very weak, however, in combustion and atmospheric environments, the presence of chlorine and bromine, can lead to the formation of the more stable ClHgSOx and BrHgSOx.</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2292665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Sabour Baray</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Robert McLaren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Centre for Atmospheric Chemistry, York University, Toronto, ON, Canada. </w:t>
                  </w:r>
                  <w:r w:rsidRPr="0005639F">
                    <w:rPr>
                      <w:rFonts w:ascii="Times New Roman" w:eastAsia="Times New Roman" w:hAnsi="Times New Roman" w:cs="Times New Roman"/>
                      <w:sz w:val="20"/>
                      <w:szCs w:val="20"/>
                    </w:rPr>
                    <w:br/>
                    <w:t xml:space="preserve">2. Atmospheric Chemistry, York University, Toronto, ON, Canada.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1" w:anchor="2292665" w:history="1">
                    <w:r w:rsidRPr="0005639F">
                      <w:rPr>
                        <w:rFonts w:ascii="Times New Roman" w:eastAsia="Times New Roman" w:hAnsi="Times New Roman" w:cs="Times New Roman"/>
                        <w:color w:val="0000FF"/>
                        <w:sz w:val="20"/>
                        <w:szCs w:val="20"/>
                        <w:u w:val="single"/>
                      </w:rPr>
                      <w:t>Top-Down Investigation of Methane Emissions from Urban Vehicles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Methane (CH4) is a greenhouse gas with steadily increasing global levels and with a higher greenhouse potency than carbon dioxide (CO2) that is only offset by its shorter lifetime. In order to better quantify methane emissions from urban combustion sources, a top-down field study was undertaken in the Fall of 2014 using a Picarro Cavity Ring-Down Spectrometer. Several days of data were collected at roadside sites in order to sample large fleets of vehicles for the calculation of average fuel-based emissions factors. Large-volume measurements were complemented by individual tailpipe plume measurements in order to select for vehicles based on class and engine activity. These emission factors will be presented and compared to those used in Greenhouse gas emission inventories.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2292669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Beizhan Yan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Martin Stute</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James Ross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Steve Chillrud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Marilyn Howarth</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Rey Panettieri</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Poune Saberi</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Lamont-Doherty Earth Observatory of Columbia University, Palisades, NY, United States. </w:t>
                  </w:r>
                  <w:r w:rsidRPr="0005639F">
                    <w:rPr>
                      <w:rFonts w:ascii="Times New Roman" w:eastAsia="Times New Roman" w:hAnsi="Times New Roman" w:cs="Times New Roman"/>
                      <w:sz w:val="20"/>
                      <w:szCs w:val="20"/>
                    </w:rPr>
                    <w:br/>
                    <w:t xml:space="preserve">2. Barnard College, New York, NY, United States. </w:t>
                  </w:r>
                  <w:r w:rsidRPr="0005639F">
                    <w:rPr>
                      <w:rFonts w:ascii="Times New Roman" w:eastAsia="Times New Roman" w:hAnsi="Times New Roman" w:cs="Times New Roman"/>
                      <w:sz w:val="20"/>
                      <w:szCs w:val="20"/>
                    </w:rPr>
                    <w:br/>
                    <w:t xml:space="preserve">3. University of Pennsylvania Medical Center, Philadelphia,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2" w:anchor="2292669" w:history="1">
                    <w:r w:rsidRPr="0005639F">
                      <w:rPr>
                        <w:rFonts w:ascii="Times New Roman" w:eastAsia="Times New Roman" w:hAnsi="Times New Roman" w:cs="Times New Roman"/>
                        <w:b/>
                        <w:bCs/>
                        <w:color w:val="0000FF"/>
                        <w:sz w:val="20"/>
                        <w:szCs w:val="20"/>
                        <w:u w:val="single"/>
                      </w:rPr>
                      <w:t xml:space="preserve">Possible impacts on water quality by hydraulic fracturing in Pennsylvania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Shale gas development, including drilling and hydraulic fracturing, is rapidly increasing throughout the United States and, indeed, the rest of the world. Systematic surveys of water quality both pre- and post drilling/production are sparse. To examine the impacts of shale gas production on water quality, pilot studies have been conducted in adjacent counties of western NY (Chemung, Tioga, Broome, and Delaware) and northern PA (Bradford, Susquehanna, and Wayne). These 7 counties along the border of NY and PA share similar geology and demographic compositions and have been identified as a key area to develop shale gas with the key difference that active fracking is occurring in PA but there is no fracking yet in NY. Measurements include a suite of major and trace elements, methane and its stable isotopes, noble gases and tritium for dating purposes, and the primary radioactive elements of potential concern, radon and radium. We found elevated methane levels on both sides of the border. Higher levels of major ions were observed in PA samples close to the gas wells, possibly from hydraulic fracturing activities. The lab analysis of samples collected in recently launched 100 Bottom Project is ongoing and the results will be presented in this conference.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2292689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Robert McLaren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Patryk Wojtal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Kevin Nikelski</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William Fujs</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York University, North York, ON, Canada. </w:t>
                  </w:r>
                  <w:r w:rsidRPr="0005639F">
                    <w:rPr>
                      <w:rFonts w:ascii="Times New Roman" w:eastAsia="Times New Roman" w:hAnsi="Times New Roman" w:cs="Times New Roman"/>
                      <w:sz w:val="20"/>
                      <w:szCs w:val="20"/>
                    </w:rPr>
                    <w:br/>
                    <w:t xml:space="preserve">2. Centre for Atmospheric Chemistry, York University, Toronto, ON, Canada.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3" w:anchor="2292689" w:history="1">
                    <w:r w:rsidRPr="0005639F">
                      <w:rPr>
                        <w:rFonts w:ascii="Times New Roman" w:eastAsia="Times New Roman" w:hAnsi="Times New Roman" w:cs="Times New Roman"/>
                        <w:color w:val="0000FF"/>
                        <w:sz w:val="20"/>
                        <w:szCs w:val="20"/>
                        <w:u w:val="single"/>
                      </w:rPr>
                      <w:t>Nighttime chemistry of nitrogen oxides in the urban atmosphere.</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Nitrogen oxides pollutants are ubiquitous in the atmosphere and their chemistry is central to many air issues on local, regional and global scales. Although nitrogen oxide chemistry is accelerated by photochemistry during the day, there is still significant dark chemistry and processing of nitrogen oxides in their various forms at night. In this presentation I will outline some of this chemistry. Examples will be taken from our measurements of NO,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NO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HONO and N</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5</w:t>
                  </w:r>
                  <w:r w:rsidRPr="0005639F">
                    <w:rPr>
                      <w:rFonts w:ascii="Times New Roman" w:eastAsia="Times New Roman" w:hAnsi="Times New Roman" w:cs="Times New Roman"/>
                      <w:sz w:val="20"/>
                      <w:szCs w:val="20"/>
                    </w:rPr>
                    <w:t xml:space="preserve"> in an urban area (Toronto) that is impacted by significant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sources. In particular, the role that meterology plays in controlling the nocturnal chemistry and equilibria will be highlighted.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2292704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Kevin Nikelski</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Akshay Lobo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Zoe Davis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Robert McLaren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Centre for Atmospheric Chemistry, York University, Toronto, ON, Canada. </w:t>
                  </w:r>
                  <w:r w:rsidRPr="0005639F">
                    <w:rPr>
                      <w:rFonts w:ascii="Times New Roman" w:eastAsia="Times New Roman" w:hAnsi="Times New Roman" w:cs="Times New Roman"/>
                      <w:sz w:val="20"/>
                      <w:szCs w:val="20"/>
                    </w:rPr>
                    <w:br/>
                    <w:t xml:space="preserve">2. Centre for Atmospheric Chemistry, York University, Toronto, ON, Canada.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4" w:anchor="2292704" w:history="1">
                    <w:r w:rsidRPr="0005639F">
                      <w:rPr>
                        <w:rFonts w:ascii="Times New Roman" w:eastAsia="Times New Roman" w:hAnsi="Times New Roman" w:cs="Times New Roman"/>
                        <w:color w:val="0000FF"/>
                        <w:sz w:val="20"/>
                        <w:szCs w:val="20"/>
                        <w:u w:val="single"/>
                      </w:rPr>
                      <w:t>NO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 SO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 xml:space="preserve"> and HONO mixing ratios in a forested region of Alberta impacted by Oil Sands processing facilities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During the summer of 2013, measurements of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SO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and HONO were made at a ground site in a rural forested region of Alberta known to be impacted by several oil sands processing facilities. Such sources are known to be the main sources of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and SO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emissions in the region. Nitrous acid (HONO) can be emitted directly from combustion sources in addition to being formed from the heterogeneous hydrolysis of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on moist surfaces The measurements were made by Differential Optical Absorption Spectroscopy (DOAS) along a 2.304 km optical return path through the forest canopy using a 30-corner cube reflector . The methodology for spectral fitting of HONO using (DOASIS) will be discussed in some detail, as will both night-time and daytime mixing ratios of the pollutants. Nitrous acid (HONO) is of particular relevance to atmospheric chemistry as it can contribute to photochemical production of the OH radical, the main daytime oxidant in the troposphere, which was estimated to exceed 1</w:t>
                  </w:r>
                  <w:r w:rsidRPr="0005639F">
                    <w:rPr>
                      <w:rFonts w:ascii="Cambria Math" w:eastAsia="Times New Roman" w:hAnsi="Cambria Math" w:cs="Cambria Math"/>
                      <w:sz w:val="20"/>
                      <w:szCs w:val="20"/>
                    </w:rPr>
                    <w:t>⨉</w:t>
                  </w:r>
                  <w:r w:rsidRPr="0005639F">
                    <w:rPr>
                      <w:rFonts w:ascii="Times New Roman" w:eastAsia="Times New Roman" w:hAnsi="Times New Roman" w:cs="Times New Roman"/>
                      <w:sz w:val="20"/>
                      <w:szCs w:val="20"/>
                    </w:rPr>
                    <w:t>10</w:t>
                  </w:r>
                  <w:r w:rsidRPr="0005639F">
                    <w:rPr>
                      <w:rFonts w:ascii="Times New Roman" w:eastAsia="Times New Roman" w:hAnsi="Times New Roman" w:cs="Times New Roman"/>
                      <w:sz w:val="20"/>
                      <w:szCs w:val="20"/>
                      <w:vertAlign w:val="superscript"/>
                    </w:rPr>
                    <w:t>7</w:t>
                  </w:r>
                  <w:r w:rsidRPr="0005639F">
                    <w:rPr>
                      <w:rFonts w:ascii="Times New Roman" w:eastAsia="Times New Roman" w:hAnsi="Times New Roman" w:cs="Times New Roman"/>
                      <w:sz w:val="20"/>
                      <w:szCs w:val="20"/>
                    </w:rPr>
                    <w:t xml:space="preserve"> molec cm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on several days during the study. Typically in urban areas HONO mixing ratios accumulate during the night, and are lost the next morning due to photolysis (HONO + hn → OH +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During this study, HONO mixing ratios were quite low at night, typically less than 300ppt. This is attributed to the very low nighttime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precursor levels, which had a median nighttime mixing ratio of ~1.1 ppb. The low nighttime mixing ratios of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and SO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were driven by limited nocturnal mixing of elevated plumes down to the surface, while high daytimelevels of 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and SO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were episodic and frequently driven by daytime fumigation the elevated plumes to the surface, with additional contribution from surface sources of 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2292713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Joseph W. Bozzelli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Suriyakit Yommee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 New Jersey Institute Technology, Livingston,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5" w:anchor="2292713" w:history="1">
                    <w:r w:rsidRPr="0005639F">
                      <w:rPr>
                        <w:rFonts w:ascii="Times New Roman" w:eastAsia="Times New Roman" w:hAnsi="Times New Roman" w:cs="Times New Roman"/>
                        <w:color w:val="0000FF"/>
                        <w:sz w:val="20"/>
                        <w:szCs w:val="20"/>
                        <w:u w:val="single"/>
                      </w:rPr>
                      <w:t>Thermochemistry and Kinetic Modeling for OH Addition to Trifluoroethene and 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 xml:space="preserve"> Association to the Hydroxy Adducts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Fluorinated halocarbons (CFCs and HCFCs) are widely used as refrigerants and heat transfer fluids. Partially oxidized CFCs are routinely found in environmental waters and in the atmosphere, and concerns exist for their influence on global warming and health. The study is focused on oxidation reactions of CF</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=CHF (Trifluoroethylene) which being considered as a refrigerant heat transfer fluid and is also an important monomer in fluoro-polymer synthesis. The reaction of OH with CF</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=CHF and the subsequent reactions of the energized and stabilized hydroxyl radical adducts with O2 are studied using density functional theory and CBS-QB3 ab initio theoretical methods. Enthalpies of formation, entropies and heat capacities (T) are determined. Detailed potential energy surfaces and kinetic parameters for the reactions of the two hydroxyl adducts, subsequent intra-molecular H atom and F atom transfers, plus HF and atom eliminations are calculated. The subsequent reactions of the two hydroxy radicals with O2 forming chemically activated peroxy adducts is also modeled. Kinetics are calculated using quantum Rice-Ramsperger-Kassel (QRRK) theory for k(E), and master equation analysis for falloff. The reaction system is modeled versus time and temperature with CHEMKIN under conditions for atmospheric and combustion. </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2228596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Donald Siegel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6" w:anchor="2228596" w:history="1">
                    <w:r w:rsidRPr="0005639F">
                      <w:rPr>
                        <w:rFonts w:ascii="Times New Roman" w:eastAsia="Times New Roman" w:hAnsi="Times New Roman" w:cs="Times New Roman"/>
                        <w:color w:val="0000FF"/>
                        <w:sz w:val="20"/>
                        <w:szCs w:val="20"/>
                        <w:u w:val="single"/>
                      </w:rPr>
                      <w:t>Water Quality Impacts of Hydraulic Fracturing of the Marcellus Shale: Facts and Fiction.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news media seldom presents potential water quality degradation caused by hydraulic fracturing and development of Marcellus Shale gas in context with respect to other societally accepted water quality risks and first principles of physics and chemistry. This talk explores plausible chemical water quality risk in these contexts and then tests implied results with natural background chemical variability determined from analyses of ~30,000 pre-drilling shallow ground water samples from Appalachia. Fundamentally, the actual risk to water supplies from fracking in the Marcelllus proves negligible in light of variability in natural water quality, inappropriate regulatory sampling and analysis, the geology of the Marcellus, and geochemical processes that naturally attenuate contaminants of interest. Broad degradation of water supplies from fracking scientifically remains implausible, </w:t>
                  </w:r>
                  <w:r w:rsidRPr="0005639F">
                    <w:rPr>
                      <w:rFonts w:ascii="Times New Roman" w:eastAsia="Times New Roman" w:hAnsi="Times New Roman" w:cs="Times New Roman"/>
                      <w:sz w:val="20"/>
                      <w:szCs w:val="20"/>
                    </w:rPr>
                    <w:lastRenderedPageBreak/>
                    <w:t>whereas societal questions and concerns related to future climate disruption, infrastructure, and community change legitimately need to be addressed.</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2270686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Ting Chen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Harbin institute of technology, Harbin, China.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7" w:anchor="2270686" w:history="1">
                    <w:r w:rsidRPr="0005639F">
                      <w:rPr>
                        <w:rFonts w:ascii="Times New Roman" w:eastAsia="Times New Roman" w:hAnsi="Times New Roman" w:cs="Times New Roman"/>
                        <w:color w:val="0000FF"/>
                        <w:sz w:val="20"/>
                        <w:szCs w:val="20"/>
                        <w:u w:val="single"/>
                      </w:rPr>
                      <w:t>Evaluation of drinking water treatment combined filter backwash water(CFBW) recycling technology based on Comet and Micronucleus assay</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Based on recycling CFBW directly to drink water treatment plant (WTP) is considered as a feasible method in enhancement of pollutants removal efficiency, it motives us to evaluate the genotoxicity of water samples employing two pilot-scale drink water treatment systems, one with recycling combined backwash water, the other one with conventional process. An integrated approach of the comet and micronucleus (MN) assay were used with zebrafish (Danio rerio) to investigate the water genotoxicity in this study. The measured parameters, such as TOC, DOC, and trihalomethane formation potential (THMFPs), of recycling process were lower than that of conventional process. All the results showed that there was no statistically significant difference(p&gt;0.05) between conventional and recycling process, and indicated that the genotoxicity of water sample from recycling process was not accumulated in the 15 days continuous recycle trial. It was worth nothing that there was relationship between the concentration of TOC, DOC, UV</w:t>
                  </w:r>
                  <w:r w:rsidRPr="0005639F">
                    <w:rPr>
                      <w:rFonts w:ascii="Times New Roman" w:eastAsia="Times New Roman" w:hAnsi="Times New Roman" w:cs="Times New Roman"/>
                      <w:sz w:val="20"/>
                      <w:szCs w:val="20"/>
                      <w:vertAlign w:val="subscript"/>
                    </w:rPr>
                    <w:t>254</w:t>
                  </w:r>
                  <w:r w:rsidRPr="0005639F">
                    <w:rPr>
                      <w:rFonts w:ascii="Times New Roman" w:eastAsia="Times New Roman" w:hAnsi="Times New Roman" w:cs="Times New Roman"/>
                      <w:sz w:val="20"/>
                      <w:szCs w:val="20"/>
                    </w:rPr>
                    <w:t>, THMFPs in water and DNA damage score, corresponding to the 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were 0.68, 0.63, 0.28, 0.64. Nevertheless, both of the DNA strand breaks and MN frequency of all water samples after disinfection were higher than that of water samples from the former treatment units, meant that the disinfection by-products (DBPs) formed by disinfection could increase the DNA damage. Both of the comet and MN tests suggest that recycling process did not increase the genotoxicity risk, contrasting to traditional process.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2284771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Kurunthachalam Kannan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New York State Department of Health, Wadsworth Center , Albany,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128" w:anchor="2284771" w:history="1">
                    <w:r w:rsidRPr="0005639F">
                      <w:rPr>
                        <w:rFonts w:ascii="Times New Roman" w:eastAsia="Times New Roman" w:hAnsi="Times New Roman" w:cs="Times New Roman"/>
                        <w:b/>
                        <w:bCs/>
                        <w:color w:val="0000FF"/>
                        <w:sz w:val="20"/>
                        <w:szCs w:val="20"/>
                        <w:u w:val="single"/>
                      </w:rPr>
                      <w:t xml:space="preserve">Biomonitoring of Human Exposure to Phthalates and Environmental Phenols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Phthalates, parabens and bisphenol A (BPA) are used in a wide variety of consumer products. Although human exposure to these endocrine disrupting chemicals is inevitable, the exposure doses for these chemicals are still not well known. A biomonitoring approach, that involves measurement of concentrations of target chemicals in human urine and by use of a simple pharmacokinetic model, we estimated total daily exposure doses of these chemicals. We also measured these contaminants in various exposure sources including foodstuffs for the calculation of daily exposure doses. A comparison was made between exposure doses calculated using biomonitoring approach and direct measurement of contaminants in food, indoor air and dust.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49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2288672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Mark A. Teece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Jesse Crandall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SUNY Clg of Env SCI Forestry,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29" w:anchor="2288672" w:history="1">
                    <w:r w:rsidRPr="0005639F">
                      <w:rPr>
                        <w:rFonts w:ascii="Times New Roman" w:eastAsia="Times New Roman" w:hAnsi="Times New Roman" w:cs="Times New Roman"/>
                        <w:color w:val="0000FF"/>
                        <w:sz w:val="20"/>
                        <w:szCs w:val="20"/>
                        <w:u w:val="single"/>
                      </w:rPr>
                      <w:t>Coral reef ecosystems: Sources of particulate organic matter and effects of climate change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Healthy coral reefs are typically characterized by clear water with low concentrations of nutrients. Particulates in the water overlying reefs contain significant amounts of organic matter and are an important food source for sessile corals. The low amounts of these particulates are continually washed over the reefs by tidal and oceanic currents bringing food to reef organisms. At typically low levels these particles are a great benefit to the reef ecosystem bringing in valuable nutrients and organic matter. The sources of these organic rich particles are poorly characterized and we used a combination of lipid analyses and compound specific stable isotope analyses to identify natural sources of these materials. These particles contain high amounts of bioavailable organic materials that can easily be assimilated by hard and soft corals and are a source of nitrogen in a nitrogen poor environment. Particles are advected from the open ocean as well as resuspended and recycled through the turbulent water circulation throughout the complex reef structures. With the increase in coastal development and land management practices a greater amount of sediments and particles are being transported to reefs from land based run-off and increased sediment loads in rivers. Increases in particles from the land and potential increases in storm frequencies will significantly increase the flux of particles onto reefs potentially smothering organisms and resulting in substantial shifts in ecosystem structure.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2290663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Beizhan Yan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Uta Passow</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Masha Pitiranggon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Nigel D’Souza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Andrew Juhl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Ajit Subramaniam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Lamont-Doherty Earth Observatory of Columbia University, Palisades, NY, United States. </w:t>
                  </w:r>
                  <w:r w:rsidRPr="0005639F">
                    <w:rPr>
                      <w:rFonts w:ascii="Times New Roman" w:eastAsia="Times New Roman" w:hAnsi="Times New Roman" w:cs="Times New Roman"/>
                      <w:sz w:val="20"/>
                      <w:szCs w:val="20"/>
                    </w:rPr>
                    <w:br/>
                    <w:t xml:space="preserve">2. Marine Science Institute, University of California Santa Barbara, Santa Barbara, CA,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0" w:anchor="2290663" w:history="1">
                    <w:r w:rsidRPr="0005639F">
                      <w:rPr>
                        <w:rFonts w:ascii="Times New Roman" w:eastAsia="Times New Roman" w:hAnsi="Times New Roman" w:cs="Times New Roman"/>
                        <w:b/>
                        <w:bCs/>
                        <w:color w:val="0000FF"/>
                        <w:sz w:val="20"/>
                        <w:szCs w:val="20"/>
                        <w:u w:val="single"/>
                      </w:rPr>
                      <w:t>Environmental impacts of spilled and seeped oils in the northern Gulf of Mexico</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Crude oil enters the Gulf of Mexico (GOM) through catastrophic spills, such as the Deepwater Horizon Oil Spill, and through numerous natural oil and gas seeps. Fully characterizing and unambiguously distinguishing hydrocarbons from these different sources remains a challenge. To compare oil originating from a spill to that from a natural seep, samples were collected from bottom sediments and water column sediment traps from two locations, a site close to the Deepwater Horizon well head (OC26) and a natural oil seep site (GC600). The levels and molecular distributions of alkanes, alkenes (olefins), PAHs, and hopanes were characterized. Through these samples, the hydrocarbon inputs from spilled and seeped oil were calculated, and the molecular difference between these types of oil was characterized. The OC26 trap and sediment samples spanned the time period from summer 2010 to 2013 and the GC600 samples were collected in 2011 through 2013. In these samples, three independent source-sensitive markers consistently indicated that the amount of spill-related hydrocarbons in the site of OC26 decreased slowly in the first several months after the spill and then tailed off until March 2011. While samples from OC26 clearly showed that the location had received hydrocarbons originating from the spill, concentrations of total hydrocarbons, which were highly weathered, in the sediments at the GC600 site, were more than 20 times higher. Such elevated hydrocarbon levels pose an ecological threat to benthic living organisms as well.</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2291971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Environmental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John P. Hassett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Jennifer M. Croskrey</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Dara Salley</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Smriti Sharma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Dept, SUNY ESF, Syracuse, NY, United States. </w:t>
                  </w:r>
                  <w:r w:rsidRPr="0005639F">
                    <w:rPr>
                      <w:rFonts w:ascii="Times New Roman" w:eastAsia="Times New Roman" w:hAnsi="Times New Roman" w:cs="Times New Roman"/>
                      <w:sz w:val="20"/>
                      <w:szCs w:val="20"/>
                    </w:rPr>
                    <w:br/>
                    <w:t xml:space="preserve">2. US Geological Survey, Denver, CO, United States. </w:t>
                  </w:r>
                  <w:r w:rsidRPr="0005639F">
                    <w:rPr>
                      <w:rFonts w:ascii="Times New Roman" w:eastAsia="Times New Roman" w:hAnsi="Times New Roman" w:cs="Times New Roman"/>
                      <w:sz w:val="20"/>
                      <w:szCs w:val="20"/>
                    </w:rPr>
                    <w:br/>
                    <w:t xml:space="preserve">3. Shealy Environmental Services, Inc., Columbia, SC,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1" w:anchor="2291971" w:history="1">
                    <w:r w:rsidRPr="0005639F">
                      <w:rPr>
                        <w:rFonts w:ascii="Times New Roman" w:eastAsia="Times New Roman" w:hAnsi="Times New Roman" w:cs="Times New Roman"/>
                        <w:color w:val="0000FF"/>
                        <w:sz w:val="20"/>
                        <w:szCs w:val="20"/>
                        <w:u w:val="single"/>
                      </w:rPr>
                      <w:t>Autonomous Real-Time Sensing and Time-Resolved Sampling of Hydrophobic Organic Compounds in Water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We have developed, evaluated and deployed a system that extracts hydrophobic compounds from water by diffusion of these compounds through a tubular polydimethylsiloxane membrane into a flowing stream of solvent, detects the presence of compounds by UV absorbance and fluorescence and stores extracts as time-resolved composites for retrieval and off-line instrumental analysis. Effective sampling rate is 15-20 L day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depending on temperature and the design of the extraction cell used. The custom-designed flow-through absorbance/fluorescence detector uses a 260 nm LED light source and measures fluorescence &gt;300 nm. A random-access multiport valve directs extracts exiting the detector into selected sample or blank storage containers. A programmable controller/data logger operates the system and communicates remotely with users by radio link. The system has been deployed on a buoy in Onondaga Lake (Syracuse, NY), where it was powered by a solar panel and storage battery. In the lake, it used the on-board detector with 10 minute time resolution to document polycyclic aromatic hydrocarbon release from contaminated sediments during wind-driven sediment resuspension events. It </w:t>
                  </w:r>
                  <w:r w:rsidRPr="0005639F">
                    <w:rPr>
                      <w:rFonts w:ascii="Times New Roman" w:eastAsia="Times New Roman" w:hAnsi="Times New Roman" w:cs="Times New Roman"/>
                      <w:sz w:val="20"/>
                      <w:szCs w:val="20"/>
                    </w:rPr>
                    <w:lastRenderedPageBreak/>
                    <w:t>has also been deployed indoors on two drinking water systems, in conjunction with off-line GC-MS analysis, to determine concentrations of gasoline components, atrazine and taste-and-odor-causing chemicals in time-series with 24 hour resolution.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2212253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Food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Ruth E. Williams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The University of the West Indies, Kingston 7, Mona, Jamaica.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2" w:anchor="2212253" w:history="1">
                    <w:r w:rsidRPr="0005639F">
                      <w:rPr>
                        <w:rFonts w:ascii="Times New Roman" w:eastAsia="Times New Roman" w:hAnsi="Times New Roman" w:cs="Times New Roman"/>
                        <w:color w:val="0000FF"/>
                        <w:sz w:val="20"/>
                        <w:szCs w:val="20"/>
                        <w:u w:val="single"/>
                      </w:rPr>
                      <w:t>Nutraceutical and phytochemical profile of the aerial parts of the Jamaican blackberry (</w:t>
                    </w:r>
                    <w:r w:rsidRPr="0005639F">
                      <w:rPr>
                        <w:rFonts w:ascii="Times New Roman" w:eastAsia="Times New Roman" w:hAnsi="Times New Roman" w:cs="Times New Roman"/>
                        <w:i/>
                        <w:iCs/>
                        <w:color w:val="0000FF"/>
                        <w:sz w:val="20"/>
                        <w:szCs w:val="20"/>
                        <w:u w:val="single"/>
                      </w:rPr>
                      <w:t>Rubus jamaicensis)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br/>
                    <w:t>“Nutraceutical and phytochemical profile of aerial parts of the Jamaican blackberry (</w:t>
                  </w:r>
                  <w:r w:rsidRPr="0005639F">
                    <w:rPr>
                      <w:rFonts w:ascii="Times New Roman" w:eastAsia="Times New Roman" w:hAnsi="Times New Roman" w:cs="Times New Roman"/>
                      <w:i/>
                      <w:iCs/>
                      <w:sz w:val="20"/>
                      <w:szCs w:val="20"/>
                    </w:rPr>
                    <w:t>Rubus jamaicensis</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rPr>
                    <w:br/>
                    <w:t>Williams, Ruth; Bowen-Forbes, Camille; Goldson-Barnaby, Andrea</w:t>
                  </w:r>
                  <w:r w:rsidRPr="0005639F">
                    <w:rPr>
                      <w:rFonts w:ascii="Times New Roman" w:eastAsia="Times New Roman" w:hAnsi="Times New Roman" w:cs="Times New Roman"/>
                      <w:sz w:val="20"/>
                      <w:szCs w:val="20"/>
                    </w:rPr>
                    <w:br/>
                    <w:t>Department of Chemistry, The University of the West Indies.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The </w:t>
                  </w:r>
                  <w:r w:rsidRPr="0005639F">
                    <w:rPr>
                      <w:rFonts w:ascii="Times New Roman" w:eastAsia="Times New Roman" w:hAnsi="Times New Roman" w:cs="Times New Roman"/>
                      <w:i/>
                      <w:iCs/>
                      <w:sz w:val="20"/>
                      <w:szCs w:val="20"/>
                    </w:rPr>
                    <w:t>Rubus</w:t>
                  </w:r>
                  <w:r w:rsidRPr="0005639F">
                    <w:rPr>
                      <w:rFonts w:ascii="Times New Roman" w:eastAsia="Times New Roman" w:hAnsi="Times New Roman" w:cs="Times New Roman"/>
                      <w:sz w:val="20"/>
                      <w:szCs w:val="20"/>
                    </w:rPr>
                    <w:t xml:space="preserve"> genus acts as a reservoir of numerous species which show nutraceutical properties including anticancer, anti-diabetic and antihypertensive activity. Nutraceutical properties listed above are linked to the noteworthy antioxidant capacity of the Rubus genus. This study seeks to further unlock the intrinsic value of the aerial parts of the </w:t>
                  </w:r>
                  <w:r w:rsidRPr="0005639F">
                    <w:rPr>
                      <w:rFonts w:ascii="Times New Roman" w:eastAsia="Times New Roman" w:hAnsi="Times New Roman" w:cs="Times New Roman"/>
                      <w:i/>
                      <w:iCs/>
                      <w:sz w:val="20"/>
                      <w:szCs w:val="20"/>
                    </w:rPr>
                    <w:t xml:space="preserve">Rubus jamaicensis </w:t>
                  </w:r>
                  <w:r w:rsidRPr="0005639F">
                    <w:rPr>
                      <w:rFonts w:ascii="Times New Roman" w:eastAsia="Times New Roman" w:hAnsi="Times New Roman" w:cs="Times New Roman"/>
                      <w:sz w:val="20"/>
                      <w:szCs w:val="20"/>
                    </w:rPr>
                    <w:t>( Jamaican blackberry) by exploring numerous bioassays. Antioxidant capacity was determined based on redox potential (Total polyphenol assay, TPA) and radical scavenging activity (Trolox equivalence antioxidant capacity, TEAC and 2, 2-Diphenyl-1-picrylhydrazyl assay, DPPH). Fatty acid analysis of the ethyl acetate extract showed the presence of high levels of omega-3 fatty acids which impart potential health benefits. The overall fat content of the dried leaves was found to be 1.86 ±0.12%. Purification of the ethyl acetate extract resulted in the isolation of compounds characterized by GC-MS and NMR. Compounds characterized thus far may be classified as terpenoids, fatty acids and flavonoids. Well diffusion antimicrobial assay shows marked antimicrobial activities of water extracts obtained.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r w:rsidRPr="0005639F">
                    <w:rPr>
                      <w:rFonts w:ascii="Times New Roman" w:eastAsia="Times New Roman" w:hAnsi="Times New Roman" w:cs="Times New Roman"/>
                      <w:sz w:val="20"/>
                      <w:szCs w:val="20"/>
                    </w:rPr>
                    <w:t>Accept</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2283153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Food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Adam DiCaprio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John C. Edwards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Process NMR Assoc LLC, Danbury,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3" w:anchor="2283153" w:history="1">
                    <w:r w:rsidRPr="0005639F">
                      <w:rPr>
                        <w:rFonts w:ascii="Times New Roman" w:eastAsia="Times New Roman" w:hAnsi="Times New Roman" w:cs="Times New Roman"/>
                        <w:color w:val="0000FF"/>
                        <w:sz w:val="20"/>
                        <w:szCs w:val="20"/>
                        <w:u w:val="single"/>
                      </w:rPr>
                      <w:t>From Mash to Bottle: Chemistry of the Beer Brewing Process and NMR-based Quality Control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r>
                  <w:r w:rsidRPr="0005639F">
                    <w:rPr>
                      <w:rFonts w:ascii="Times New Roman" w:eastAsia="Times New Roman" w:hAnsi="Times New Roman" w:cs="Times New Roman"/>
                      <w:b/>
                      <w:bCs/>
                      <w:sz w:val="20"/>
                      <w:szCs w:val="20"/>
                    </w:rPr>
                    <w:lastRenderedPageBreak/>
                    <w:t xml:space="preserve">Abstract: </w:t>
                  </w:r>
                  <w:r w:rsidRPr="0005639F">
                    <w:rPr>
                      <w:rFonts w:ascii="Times New Roman" w:eastAsia="Times New Roman" w:hAnsi="Times New Roman" w:cs="Times New Roman"/>
                      <w:sz w:val="20"/>
                      <w:szCs w:val="20"/>
                    </w:rPr>
                    <w:t>Due to the complexity of the complete brewing process, there are multiple opportunities for the application of quantitative NMR (qNMR) in brewery quality control. NMR and multivariate analysis have been applied as quality control measures previously, but never throughout the entire brewing process. In conjunction with a number of commercial brewing companies, this project seeks to utilize NMR and chemometrics to describe the full chemical changes that occur during the brewing process, as well as variations occurring between separate production lots. qNMR is utilized to provide bulk chemistry information on small organic acids, residual dextrins, esters, and fusel alcohols. Equipped with the knowledge of brewing process variables and their consequential chemical effects, brewers would be able to use NMR as a quality control measure to not only identify when production issues occur, but also where and why they occur.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2285409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Food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Blessing Aroh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Heather Goldsborough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So-Jin Park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Tina Ndam</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Diamond Nwaeze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Motunrayo Fadipe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Andrew Ristvey</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Victoria Volkis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Natural Sciences, University of Maryland Eastern Shore, Princess Anne, MD, United States. </w:t>
                  </w:r>
                  <w:r w:rsidRPr="0005639F">
                    <w:rPr>
                      <w:rFonts w:ascii="Times New Roman" w:eastAsia="Times New Roman" w:hAnsi="Times New Roman" w:cs="Times New Roman"/>
                      <w:sz w:val="20"/>
                      <w:szCs w:val="20"/>
                    </w:rPr>
                    <w:br/>
                    <w:t xml:space="preserve">2. University of Maryland Extension, Wye Research and Education Center, Queenstown,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4" w:anchor="2285409" w:history="1">
                    <w:r w:rsidRPr="0005639F">
                      <w:rPr>
                        <w:rFonts w:ascii="Times New Roman" w:eastAsia="Times New Roman" w:hAnsi="Times New Roman" w:cs="Times New Roman"/>
                        <w:b/>
                        <w:bCs/>
                        <w:color w:val="0000FF"/>
                        <w:sz w:val="20"/>
                        <w:szCs w:val="20"/>
                        <w:u w:val="single"/>
                      </w:rPr>
                      <w:t xml:space="preserve">Super berry </w:t>
                    </w:r>
                    <w:r w:rsidRPr="0005639F">
                      <w:rPr>
                        <w:rFonts w:ascii="Times New Roman" w:eastAsia="Times New Roman" w:hAnsi="Times New Roman" w:cs="Times New Roman"/>
                        <w:b/>
                        <w:bCs/>
                        <w:i/>
                        <w:iCs/>
                        <w:color w:val="0000FF"/>
                        <w:sz w:val="20"/>
                        <w:szCs w:val="20"/>
                        <w:u w:val="single"/>
                      </w:rPr>
                      <w:t>Aronia mitchurinii</w:t>
                    </w:r>
                    <w:r w:rsidRPr="0005639F">
                      <w:rPr>
                        <w:rFonts w:ascii="Times New Roman" w:eastAsia="Times New Roman" w:hAnsi="Times New Roman" w:cs="Times New Roman"/>
                        <w:b/>
                        <w:bCs/>
                        <w:color w:val="0000FF"/>
                        <w:sz w:val="20"/>
                        <w:szCs w:val="20"/>
                        <w:u w:val="single"/>
                      </w:rPr>
                      <w:t xml:space="preserve"> – cultural management, food and non-food related applications supported by phytochemical and material research</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i/>
                      <w:iCs/>
                      <w:sz w:val="20"/>
                      <w:szCs w:val="20"/>
                    </w:rPr>
                    <w:t>Aronia mitschurinii</w:t>
                  </w:r>
                  <w:r w:rsidRPr="0005639F">
                    <w:rPr>
                      <w:rFonts w:ascii="Times New Roman" w:eastAsia="Times New Roman" w:hAnsi="Times New Roman" w:cs="Times New Roman"/>
                      <w:sz w:val="20"/>
                      <w:szCs w:val="20"/>
                    </w:rPr>
                    <w:t>, commonly known as the Black Chokeberry, is a fruiting bush native to the East Coast of the US and cultivated as a specialty food crop in Eastern Europe. Aronia berries contain a cocktail of antioxidants in significantly higher concentrations than currently future as a super-berry Acai berries. The most notable of these compounds is anthocyanin. It is a valuable nutrient and the compound with some technical applications in addition to nutrition ones.</w:t>
                  </w:r>
                  <w:r w:rsidRPr="0005639F">
                    <w:rPr>
                      <w:rFonts w:ascii="Times New Roman" w:eastAsia="Times New Roman" w:hAnsi="Times New Roman" w:cs="Times New Roman"/>
                      <w:sz w:val="20"/>
                      <w:szCs w:val="20"/>
                    </w:rPr>
                    <w:br/>
                    <w:t>The first goal of this project is to develop and optimize the horticultural management program for growing aronia in Maryland small farms in order to produce the crop with as high as possible antioxidant capacity. This helps in improving sustainability of local farm business. Our preliminary study of antioxidant capacity of aronia as a function of bush age, sun-shadow ratio, fertilization and pest management influence significantly the antioxidant capacity. Here we present data of the measurements of total polyphenols, anthocyanin content, total flavonoids, pH, juice/pulp ratio, some antioxidant profiles and the ORAC factor of Aronia for 2011, 2013 and 2014 aronia harvests.</w:t>
                  </w:r>
                  <w:r w:rsidRPr="0005639F">
                    <w:rPr>
                      <w:rFonts w:ascii="Times New Roman" w:eastAsia="Times New Roman" w:hAnsi="Times New Roman" w:cs="Times New Roman"/>
                      <w:sz w:val="20"/>
                      <w:szCs w:val="20"/>
                    </w:rPr>
                    <w:br/>
                    <w:t>We will also present the influence of temperature and exposure time on antioxidant content of Aronia. The aim of this study is to determine the thermal process that would avoid significant decomposition of antioxidants during pasteurization and food processing.</w:t>
                  </w:r>
                  <w:r w:rsidRPr="0005639F">
                    <w:rPr>
                      <w:rFonts w:ascii="Times New Roman" w:eastAsia="Times New Roman" w:hAnsi="Times New Roman" w:cs="Times New Roman"/>
                      <w:sz w:val="20"/>
                      <w:szCs w:val="20"/>
                    </w:rPr>
                    <w:br/>
                    <w:t xml:space="preserve">Finally two examples of non-food related applications of Aronia will be presented. The first project aims to testing current resin techniques on the extraction of anthocyanin from both Aronia juice and pulp. Extracted antioxidants can be used in health supplements, food products, and possibly in the future as medication ingredients. Antioxidant profile before and after the resin treatment, comparison of different resins as well as purity analysis of isolated products will be presented. As another example we will present the study in which aronia extracts were incorporated into polymer films for antifouling protection. Available protective coating contain such a danger chemicals as tributyl tin (TBT) and are toxic to marine environments. With the aim to find an alternative to available toxic protecting coatings, extracts of </w:t>
                  </w:r>
                  <w:r w:rsidRPr="0005639F">
                    <w:rPr>
                      <w:rFonts w:ascii="Times New Roman" w:eastAsia="Times New Roman" w:hAnsi="Times New Roman" w:cs="Times New Roman"/>
                      <w:i/>
                      <w:iCs/>
                      <w:sz w:val="20"/>
                      <w:szCs w:val="20"/>
                    </w:rPr>
                    <w:t xml:space="preserve">Aronia mitchurinii </w:t>
                  </w:r>
                  <w:r w:rsidRPr="0005639F">
                    <w:rPr>
                      <w:rFonts w:ascii="Times New Roman" w:eastAsia="Times New Roman" w:hAnsi="Times New Roman" w:cs="Times New Roman"/>
                      <w:sz w:val="20"/>
                      <w:szCs w:val="20"/>
                    </w:rPr>
                    <w:t>was incorporated into polymers commonly utilized in the paint industry and antifouling tests of these samples have shown significant protecting effect.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2288322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Food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Gavin L. Sacks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Imelda Ryona</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Lindsay F. Springer</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Food Science, Cornell University, Ithaca, NY, United States. </w:t>
                  </w:r>
                  <w:r w:rsidRPr="0005639F">
                    <w:rPr>
                      <w:rFonts w:ascii="Times New Roman" w:eastAsia="Times New Roman" w:hAnsi="Times New Roman" w:cs="Times New Roman"/>
                      <w:sz w:val="20"/>
                      <w:szCs w:val="20"/>
                    </w:rPr>
                    <w:br/>
                    <w:t xml:space="preserve">2. Food Science and Technology, Cornell University , Dundee, NY, United States. </w:t>
                  </w:r>
                  <w:r w:rsidRPr="0005639F">
                    <w:rPr>
                      <w:rFonts w:ascii="Times New Roman" w:eastAsia="Times New Roman" w:hAnsi="Times New Roman" w:cs="Times New Roman"/>
                      <w:sz w:val="20"/>
                      <w:szCs w:val="20"/>
                    </w:rPr>
                    <w:br/>
                    <w:t xml:space="preserve">3. Food Science,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5" w:anchor="2288322" w:history="1">
                    <w:r w:rsidRPr="0005639F">
                      <w:rPr>
                        <w:rFonts w:ascii="Times New Roman" w:eastAsia="Times New Roman" w:hAnsi="Times New Roman" w:cs="Times New Roman"/>
                        <w:color w:val="0000FF"/>
                        <w:sz w:val="20"/>
                        <w:szCs w:val="20"/>
                        <w:u w:val="single"/>
                      </w:rPr>
                      <w:t>Getting Consumer-Friendly Wine from Grower-Friendly Grapes: Challenges to Improving the Flavor Chemistry of New Sustainable Grape Varieties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Native, wild grape varieties have exceptional cold hardiness and disease resistance as compared to domesticated winegrapes, but the aroma, taste, mouthfeel, and color of wines produced from these wild grapes is unacceptable to most consumers. 1-D (GC) and comprehensive 2-D (GCxGC) gas chromatography coupled to time-of-flight-mass-spectrometry (TOF-MS) can be used for quantification of trace and ultra-trace off-aroma compounds in grape breeding populations. The application of uniformally labeled (e.g. U-13C or U-15N) isotopic standards can overcome inaccuracies inherent to separate preparation, and good correlations can then be observed between grape and wine concentrations of target compounds. This has led to the identification of genomic regions associated that control production of herbaceous-smelling off aromas. Conversely, the quantity of condensed tannins in fruit is not well correlated with its concentration in wine. CT impart important and desirable organoleptic qualities to red wines, and particularly mouthfeel. Differences between wild and domesticated varieties appear to arise from binding of CT to grape-derived proteins. These proteins were identified by LC-MS/MS to be pathogenesis related proteins (PRPs) associated with disease response, and 30-fold higher concentrations (667 vs. 25 mg/L) were observed in wines produced from wild grape species as compared to European winegrapes. Thus, the lower quality associated with the mouthfeel of wild grapes and their hybrids may arise from a beneficial trait critical to their survival in challenging climates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2224301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Food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Panduka S. Piyaratne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Barbara J. Cole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The University of Maine, Orono, ME,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6" w:anchor="2224301" w:history="1">
                    <w:r w:rsidRPr="0005639F">
                      <w:rPr>
                        <w:rFonts w:ascii="Times New Roman" w:eastAsia="Times New Roman" w:hAnsi="Times New Roman" w:cs="Times New Roman"/>
                        <w:b/>
                        <w:bCs/>
                        <w:color w:val="0000FF"/>
                        <w:sz w:val="20"/>
                        <w:szCs w:val="20"/>
                        <w:u w:val="single"/>
                      </w:rPr>
                      <w:t>Extraction and purification of trans-resveratrol from conifer bark</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Plant polyphenolic compounds are widely known for their putative health benefits. Resveratrol is one such compound that belongs to the category of phytoalexins which protect plants from attack by fungi and other pathogens and also which can act as remedial agents against injury, stress, and tissue damage by UV radiation. With its characteristic stilbene structure, resveratrol adopts two isomeric forms; cis and trans. However, the trans isomer is the most biologically active and abundant form of resveratrol in nature. Resveratrol is present in many </w:t>
                  </w:r>
                  <w:r w:rsidRPr="0005639F">
                    <w:rPr>
                      <w:rFonts w:ascii="Times New Roman" w:eastAsia="Times New Roman" w:hAnsi="Times New Roman" w:cs="Times New Roman"/>
                      <w:sz w:val="20"/>
                      <w:szCs w:val="20"/>
                    </w:rPr>
                    <w:lastRenderedPageBreak/>
                    <w:t xml:space="preserve">plant species including mulberry, peanut, grape, some herbaceous species such as Japanese knotweed, and some conifers that are abundant in North America, such as </w:t>
                  </w:r>
                  <w:r w:rsidRPr="0005639F">
                    <w:rPr>
                      <w:rFonts w:ascii="Times New Roman" w:eastAsia="Times New Roman" w:hAnsi="Times New Roman" w:cs="Times New Roman"/>
                      <w:i/>
                      <w:iCs/>
                      <w:sz w:val="20"/>
                      <w:szCs w:val="20"/>
                    </w:rPr>
                    <w:t>Picea</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Abies</w:t>
                  </w:r>
                  <w:r w:rsidRPr="0005639F">
                    <w:rPr>
                      <w:rFonts w:ascii="Times New Roman" w:eastAsia="Times New Roman" w:hAnsi="Times New Roman" w:cs="Times New Roman"/>
                      <w:sz w:val="20"/>
                      <w:szCs w:val="20"/>
                    </w:rPr>
                    <w:t xml:space="preserve"> and </w:t>
                  </w:r>
                  <w:r w:rsidRPr="0005639F">
                    <w:rPr>
                      <w:rFonts w:ascii="Times New Roman" w:eastAsia="Times New Roman" w:hAnsi="Times New Roman" w:cs="Times New Roman"/>
                      <w:i/>
                      <w:iCs/>
                      <w:sz w:val="20"/>
                      <w:szCs w:val="20"/>
                    </w:rPr>
                    <w:t>Pinus</w:t>
                  </w:r>
                  <w:r w:rsidRPr="0005639F">
                    <w:rPr>
                      <w:rFonts w:ascii="Times New Roman" w:eastAsia="Times New Roman" w:hAnsi="Times New Roman" w:cs="Times New Roman"/>
                      <w:sz w:val="20"/>
                      <w:szCs w:val="20"/>
                    </w:rPr>
                    <w:t xml:space="preserve"> species. Its role in biological systems as an anticancer, anti-aging, cardio-protection and anti-inflammatory agent, as well as an antioxidant, has been a much explored research interest.</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Plants inherently contain a number of polyphenolic compounds with similar structural and functional properties. Hence the isolation of trans-resveratrol from various plant extracts poses a challenging research problem. Many approaches aimed at extraction and quantification of trans-resveratrol from different plant species have been reported over the past decade while Japanese knotweed (</w:t>
                  </w:r>
                  <w:r w:rsidRPr="0005639F">
                    <w:rPr>
                      <w:rFonts w:ascii="Times New Roman" w:eastAsia="Times New Roman" w:hAnsi="Times New Roman" w:cs="Times New Roman"/>
                      <w:i/>
                      <w:iCs/>
                      <w:sz w:val="20"/>
                      <w:szCs w:val="20"/>
                    </w:rPr>
                    <w:t>Polygonum cuspidatum</w:t>
                  </w:r>
                  <w:r w:rsidRPr="0005639F">
                    <w:rPr>
                      <w:rFonts w:ascii="Times New Roman" w:eastAsia="Times New Roman" w:hAnsi="Times New Roman" w:cs="Times New Roman"/>
                      <w:sz w:val="20"/>
                      <w:szCs w:val="20"/>
                    </w:rPr>
                    <w:t>) remains the prime source for the commercial production. However, preliminary studies conducted by our group using conifer species (</w:t>
                  </w:r>
                  <w:r w:rsidRPr="0005639F">
                    <w:rPr>
                      <w:rFonts w:ascii="Times New Roman" w:eastAsia="Times New Roman" w:hAnsi="Times New Roman" w:cs="Times New Roman"/>
                      <w:i/>
                      <w:iCs/>
                      <w:sz w:val="20"/>
                      <w:szCs w:val="20"/>
                    </w:rPr>
                    <w:t>Picea sp.</w:t>
                  </w:r>
                  <w:r w:rsidRPr="0005639F">
                    <w:rPr>
                      <w:rFonts w:ascii="Times New Roman" w:eastAsia="Times New Roman" w:hAnsi="Times New Roman" w:cs="Times New Roman"/>
                      <w:sz w:val="20"/>
                      <w:szCs w:val="20"/>
                    </w:rPr>
                    <w:t>) native to Maine have shown that spruces are rich sources of trans-resveratrol, and the compound is located primarily in the bark of the trees. Bark is typically a waste material generated in large amounts from the wood processing industries in the state. Hence, developing a method to isolate trans-resveratrol from Maine’s native conifer species will find a rewarding use for wood bark and open up industrial avenues that are highly relevant to the state of Maine.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2283171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Food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John C. Edwards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Process NMR Assoc LLC, Danbury,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7" w:anchor="2283171" w:history="1">
                    <w:r w:rsidRPr="0005639F">
                      <w:rPr>
                        <w:rFonts w:ascii="Times New Roman" w:eastAsia="Times New Roman" w:hAnsi="Times New Roman" w:cs="Times New Roman"/>
                        <w:color w:val="0000FF"/>
                        <w:sz w:val="20"/>
                        <w:szCs w:val="20"/>
                        <w:u w:val="single"/>
                      </w:rPr>
                      <w:t>1H qNMR of Alcoholic Cider - Analysis of Small Molecule and Residual Sugar Chemistry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1H qNMR has been utilized to assess the the small molecule and carbohydrate chemistry of a number of home-brewed and commercial alcoholic ciders. A quantitative chemistry distribution of the products of the various fermentations that occur in cider making. Malolactic fermentation as well as fermentation by saccharomyces and wild yeasts occur in the cider making process which traditionally occurred without the intentional addition of yeast by the manufacturer. The distribution of small molecules produced by the yeast and bacterial metabolomes at work in the process can yield information of the sensory perception of ciders produced in different ways. An investigation of the residual sugar chemistry of commercial ciders gives some indication of the process of sweetening commercial cider products with sugar additions after fermentation is complete. These typical commercial ciders are very different in chemistry distribution compared to very dry cider styles such as those found in the Basque region of Spain where fermentation is taken to the extreme resulting in complete conversion of sugars to alcohol but also glycerols to 1,3 propandiol. Finally it was decided to determine how much quantitative chemistry information could be obtained from benchtop NMR systems operating in the 60 MHz range. These benchtop NMR systems have a price and cost-of-ownership that would allow small laboratories of manufacturers to think about their use in QA and QC roles.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2290907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Food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Sunil Dehipawala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Rahel Steffen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Physics Dept, Queebsborough Community College, Bayside,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8" w:anchor="2290907" w:history="1">
                    <w:r w:rsidRPr="0005639F">
                      <w:rPr>
                        <w:rFonts w:ascii="Times New Roman" w:eastAsia="Times New Roman" w:hAnsi="Times New Roman" w:cs="Times New Roman"/>
                        <w:color w:val="0000FF"/>
                        <w:sz w:val="20"/>
                        <w:szCs w:val="20"/>
                        <w:u w:val="single"/>
                      </w:rPr>
                      <w:t>Iron distribution within Spinacia Oleracea plant using X-ray absorption spectroscopy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Iron is an essential nutrient not only for humans, but also for all types of plants. Plants use iron for chlorophyll formation, RNA metabolism, and transpiration process regulation. Iron is one of the most abundant metals in the soil and occurs in a wide range of chemical forms. Spinacia oleracea or commonly named as spinach is a well known plant that contain iron. The amount of iron present different parts of this plant was investigated using X-ray absorption spectroscopy (XAS). Tissue samples collected from different regions of a plant was dried at 200</w:t>
                  </w:r>
                  <w:r w:rsidRPr="0005639F">
                    <w:rPr>
                      <w:rFonts w:ascii="Times New Roman" w:eastAsia="Times New Roman" w:hAnsi="Times New Roman" w:cs="Times New Roman"/>
                      <w:sz w:val="20"/>
                      <w:szCs w:val="20"/>
                      <w:vertAlign w:val="superscript"/>
                    </w:rPr>
                    <w:t>0</w:t>
                  </w:r>
                  <w:r w:rsidRPr="0005639F">
                    <w:rPr>
                      <w:rFonts w:ascii="Times New Roman" w:eastAsia="Times New Roman" w:hAnsi="Times New Roman" w:cs="Times New Roman"/>
                      <w:sz w:val="20"/>
                      <w:szCs w:val="20"/>
                    </w:rPr>
                    <w:t>C grinded to fine powder form. X-ray absorption spectra of samples were collected at the National Synchrotron Light Source of Brookhaven Laboratory for the energy range of 6900 to 8100eV. The main absorption peak of the absorption spectrum is proportional to the amount of iron present in the sample. According to the data most young leaves contains highest amount of iron. Most of the iron present in the samples has the form Fe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or electron density at the site of the iron nucleus similar to that of Fe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0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2290925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Food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Sunil Dehipawala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Krystal Lee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Physics Dept, Queebsborough Community College, Bayside,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39" w:anchor="2290925" w:history="1">
                    <w:r w:rsidRPr="0005639F">
                      <w:rPr>
                        <w:rFonts w:ascii="Times New Roman" w:eastAsia="Times New Roman" w:hAnsi="Times New Roman" w:cs="Times New Roman"/>
                        <w:color w:val="0000FF"/>
                        <w:sz w:val="20"/>
                        <w:szCs w:val="20"/>
                        <w:u w:val="single"/>
                      </w:rPr>
                      <w:t>Probe of iron in plants using X-ray Absorption Near Edge Structure.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Iron is an essential nutrient not only for humans, but also for all types of plants. Plants use iron for chlorophyll formation, RNA metabolism, and transpiration process regulation. Iron is one of the most abundant metals in the soil and occurs in a wide range of chemical forms. Humans receive iron through meat(Heme-iron) products and plants (non-Heme). Non meat eaters depend on plants for their iron. Almost all green leafy vegetables contain iron. But amount of iron per gram of leave is different in different plants. Also the atomic structure may differ from a plant to plant. X-ray absorption spectroscopy (XAS) is a valuable tool to determine the amount of iron present in a particular sample and atomic structure around the iron atom. Results obtained from different plant tissue samples will be presented.</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CONTROL ID: </w:t>
                  </w:r>
                  <w:r w:rsidRPr="0005639F">
                    <w:rPr>
                      <w:rFonts w:ascii="Times New Roman" w:eastAsia="Times New Roman" w:hAnsi="Times New Roman" w:cs="Times New Roman"/>
                      <w:sz w:val="20"/>
                      <w:szCs w:val="20"/>
                    </w:rPr>
                    <w:t>2292107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Food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Elizabeth A. Burzynski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Gavin L. Sacks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Food Science,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0" w:anchor="2292107" w:history="1">
                    <w:r w:rsidRPr="0005639F">
                      <w:rPr>
                        <w:rFonts w:ascii="Times New Roman" w:eastAsia="Times New Roman" w:hAnsi="Times New Roman" w:cs="Times New Roman"/>
                        <w:color w:val="0000FF"/>
                        <w:sz w:val="20"/>
                        <w:szCs w:val="20"/>
                        <w:u w:val="single"/>
                      </w:rPr>
                      <w:t>Broad-Spectrum Isotopically Labeled Standards for Analysis of Maillard-Derived Odorants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4-Hydroxy-2,5-dimethyl-3(</w:t>
                  </w:r>
                  <w:r w:rsidRPr="0005639F">
                    <w:rPr>
                      <w:rFonts w:ascii="Times New Roman" w:eastAsia="Times New Roman" w:hAnsi="Times New Roman" w:cs="Times New Roman"/>
                      <w:i/>
                      <w:iCs/>
                      <w:sz w:val="20"/>
                      <w:szCs w:val="20"/>
                    </w:rPr>
                    <w:t>2H)</w:t>
                  </w:r>
                  <w:r w:rsidRPr="0005639F">
                    <w:rPr>
                      <w:rFonts w:ascii="Times New Roman" w:eastAsia="Times New Roman" w:hAnsi="Times New Roman" w:cs="Times New Roman"/>
                      <w:sz w:val="20"/>
                      <w:szCs w:val="20"/>
                    </w:rPr>
                    <w:t>-furanone [HDMF, Furaneol™], maltol [3-hydroxy-2-methyl-4</w:t>
                  </w:r>
                  <w:r w:rsidRPr="0005639F">
                    <w:rPr>
                      <w:rFonts w:ascii="Times New Roman" w:eastAsia="Times New Roman" w:hAnsi="Times New Roman" w:cs="Times New Roman"/>
                      <w:i/>
                      <w:iCs/>
                      <w:sz w:val="20"/>
                      <w:szCs w:val="20"/>
                    </w:rPr>
                    <w:t>H-</w:t>
                  </w:r>
                  <w:r w:rsidRPr="0005639F">
                    <w:rPr>
                      <w:rFonts w:ascii="Times New Roman" w:eastAsia="Times New Roman" w:hAnsi="Times New Roman" w:cs="Times New Roman"/>
                      <w:sz w:val="20"/>
                      <w:szCs w:val="20"/>
                    </w:rPr>
                    <w:t xml:space="preserve">pyran-4-one] and dozens of other related volatiles compounds produced from carbohydrate (CHO)-degradation possess caramel, sweet and toasty aromas. These odorants can be formed through several pathways, particularly the Maillard reaction, and are found in a wide range of foodstuffs, including chocolate, wine, and coffee. Accurate quantification of these odorants by GC-MS or LC-MS requires the use isotopically labeled analogues, which are typically synthesized individually. We have investigated the potential of generating broad-spectrum isotopically labeled CHO-degradation standards starting from </w:t>
                  </w:r>
                  <w:r w:rsidRPr="0005639F">
                    <w:rPr>
                      <w:rFonts w:ascii="Times New Roman" w:eastAsia="Times New Roman" w:hAnsi="Times New Roman" w:cs="Times New Roman"/>
                      <w:sz w:val="20"/>
                      <w:szCs w:val="20"/>
                      <w:vertAlign w:val="superscript"/>
                    </w:rPr>
                    <w:t>13</w:t>
                  </w:r>
                  <w:r w:rsidRPr="0005639F">
                    <w:rPr>
                      <w:rFonts w:ascii="Times New Roman" w:eastAsia="Times New Roman" w:hAnsi="Times New Roman" w:cs="Times New Roman"/>
                      <w:sz w:val="20"/>
                      <w:szCs w:val="20"/>
                    </w:rPr>
                    <w:t>C labeled pentoses and hexoses. Preliminary research is optimizing formation and isolation conditions for CHO-degradation products, using amino acids and pentose or hexose sugars as starting materials and GC-TOF-MS detection. Initial results using xylose and proline show the production of maltol, as well as similar odorants: 3-methyl-1,2-cyclopentanedione, 1-(2-furanyl)-ethanone, and 3,4-dimethyl-2,5-furandione.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2292305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Food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Elizabeth Kinney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Food Lab, NYS Dept of Agri Markets, Albany,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1" w:anchor="2292305" w:history="1">
                    <w:r w:rsidRPr="0005639F">
                      <w:rPr>
                        <w:rFonts w:ascii="Times New Roman" w:eastAsia="Times New Roman" w:hAnsi="Times New Roman" w:cs="Times New Roman"/>
                        <w:color w:val="0000FF"/>
                        <w:sz w:val="20"/>
                        <w:szCs w:val="20"/>
                        <w:u w:val="single"/>
                      </w:rPr>
                      <w:t>What should we eat?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Upon hearing the term Food Chemist, people often wonder out loud: what should I eat? What may we tell them, that won’t have those breaking their budgets buying all organic, and depleting their nutritional input, or causing them to become completely nihilistic and totally gluttonous, or worst, not eat at all? Many resources are available, at multiple levels of scientific background and understanding.</w:t>
                  </w:r>
                  <w:r w:rsidRPr="0005639F">
                    <w:rPr>
                      <w:rFonts w:ascii="Times New Roman" w:eastAsia="Times New Roman" w:hAnsi="Times New Roman" w:cs="Times New Roman"/>
                      <w:sz w:val="20"/>
                      <w:szCs w:val="20"/>
                    </w:rPr>
                    <w:br/>
                    <w:t xml:space="preserve">Pesticide Data Program (PDP) has a website primarily aimed for use with government agencies, which is comprehensible for some. Multiple websites and “apps” for nutritional status based on daily or weekly intake can help menu planners, and track intake. Recently our Ag &amp; Markets annual report outlines new public features aimed at outreach and education. Summarising more than 15 years of PDP data, this poster will indicate these resources, as well as debunking some common myths regarding the balance of nutrition, agriculture, and nourishment. </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Food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Sunil Dehipawala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Clarence Ma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Physics Dept, Queebsborough Community College, Bayside,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2" w:anchor="2292392" w:history="1">
                    <w:r w:rsidRPr="0005639F">
                      <w:rPr>
                        <w:rFonts w:ascii="Times New Roman" w:eastAsia="Times New Roman" w:hAnsi="Times New Roman" w:cs="Times New Roman"/>
                        <w:color w:val="0000FF"/>
                        <w:sz w:val="20"/>
                        <w:szCs w:val="20"/>
                        <w:u w:val="single"/>
                      </w:rPr>
                      <w:t>Probe of iron in plants using X-ray Absorption Near Edge Structure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Extended X-ray Absorption Spectroscopy(EXAFS) and X-ray Absorption Near Edge Structure(XANES) was used to study chemical environment and amount of Iron per unit mass in several different types of meats. The main absorption edge position of the absorption spectrum changes with the electronic environment or oxidation state of the iron. The charge state of Iron is similar in all types of meat but amount of iron per gram of sample varies depending on the type of meat.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2228067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Wei Zhang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Xin Hung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Wenbin Yi</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University of MA Boston, Dorchester, MA, United States. </w:t>
                  </w:r>
                  <w:r w:rsidRPr="0005639F">
                    <w:rPr>
                      <w:rFonts w:ascii="Times New Roman" w:eastAsia="Times New Roman" w:hAnsi="Times New Roman" w:cs="Times New Roman"/>
                      <w:sz w:val="20"/>
                      <w:szCs w:val="20"/>
                    </w:rPr>
                    <w:br/>
                    <w:t xml:space="preserve">2. Nanjing uviversity of Science and Technology, Nanjing, Jiangsu, China.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3" w:anchor="2228067" w:history="1">
                    <w:r w:rsidRPr="0005639F">
                      <w:rPr>
                        <w:rFonts w:ascii="Times New Roman" w:eastAsia="Times New Roman" w:hAnsi="Times New Roman" w:cs="Times New Roman"/>
                        <w:color w:val="0000FF"/>
                        <w:sz w:val="20"/>
                        <w:szCs w:val="20"/>
                        <w:u w:val="single"/>
                      </w:rPr>
                      <w:t>Recyclable organocatalysis for organofluorination and other asymmetric synthesis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Organocatalysis has advantages such as free of toxic heavy metals, mild reaction conditions, novel mood of activation, and good structural amenability. It is a new technology for asymmetric synthesis and green chemistry applications. However, organocatalysis requires high catalyst loading and separation/recycling of organocatalysts is not an easy task. The development of fluorous organocatalysis provides an efficient way to address the issue. In addition to phase tag separation, the stereoelectronic effect of the fluorous chain can be used to modify the reactivity and selectivity of the catalysts. This presentation highlights our recent effort on the development of recyclable organocatalyst-promoted fluorination, Michael addition, Robinson annulation, and one-pot addition/cyclization for asymmetric synthesis of biologically interested molecules.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2229645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Michael C. Cann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University of Scranton, Scranton,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144" w:anchor="2229645" w:history="1">
                    <w:r w:rsidRPr="0005639F">
                      <w:rPr>
                        <w:rFonts w:ascii="Times New Roman" w:eastAsia="Times New Roman" w:hAnsi="Times New Roman" w:cs="Times New Roman"/>
                        <w:color w:val="0000FF"/>
                        <w:sz w:val="20"/>
                        <w:szCs w:val="20"/>
                        <w:u w:val="single"/>
                      </w:rPr>
                      <w:t>Planetary boundaries that we MUST all live by; opportunities for innovative interdisciplinary research and education in sustainable technologies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 2009 planetary boundaries were proposed that define a “safe operating space for humanity.” The nine boundaries are climate change, chemical pollution, stratospheric ozone depletion, aerosol loading, ocean acidification, nitrogen and phosphorus cycles, freshwater use, land use changes, and biodiversity loss. Any one (or combinations thereof) of these offers a plethora of interdisciplinary opportunities in education and research in sustainable technologies with chemistry as a central theme. The challenge is to ask yourself: how can I, through collaboration with my colleagues in academia and industry, employing education and research, contribute to the effort to stay within these boundaries?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2258933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Markus M. Hoffmann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&amp; Biochemistry, The College at Brockport, State University of New York, Brockport,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5" w:anchor="2258933" w:history="1">
                    <w:r w:rsidRPr="0005639F">
                      <w:rPr>
                        <w:rFonts w:ascii="Times New Roman" w:eastAsia="Times New Roman" w:hAnsi="Times New Roman" w:cs="Times New Roman"/>
                        <w:color w:val="0000FF"/>
                        <w:sz w:val="20"/>
                        <w:szCs w:val="20"/>
                        <w:u w:val="single"/>
                      </w:rPr>
                      <w:t>Physicochemical studies of the binary systems water – 1-alkyl-3-methylimidazolium methanesulfonates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Ionic liquids (ILs) are salts with melting points below 100°C. They possess low vapor pressures, and especially halide-free ionic liquids have been considered as green solvents for chemical synthesis. It has been noted several times that water present in the ionic liquid solvent medium does not react with water-sensitive reagents. In collaboration with the Stark group this motivated a series of physical property measurements of binary system water – 1-ethyl-3-methylimidazolium methanesulfonte ([C</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mim][MeSO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as a function of composition and temperature, which were interpreted within the context of structural IL organization into polar and nonpolar domains that persist to high water content.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This presentation will show follow-up results obtained in our lab for the related IL 1-butyl-3-methylimidazolium methanesulfonate in binary system with water.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While the concentration dependence of a number of measured physical properties is very similar to [C</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mim][MeSO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the temperature dependence shows marked differences with respect to activation energies for a number of physical properties as well as </w:t>
                  </w:r>
                  <w:r w:rsidRPr="0005639F">
                    <w:rPr>
                      <w:rFonts w:ascii="Times New Roman" w:eastAsia="Times New Roman" w:hAnsi="Times New Roman" w:cs="Times New Roman"/>
                      <w:i/>
                      <w:iCs/>
                      <w:sz w:val="20"/>
                      <w:szCs w:val="20"/>
                    </w:rPr>
                    <w:t>T</w:t>
                  </w:r>
                  <w:r w:rsidRPr="0005639F">
                    <w:rPr>
                      <w:rFonts w:ascii="Times New Roman" w:eastAsia="Times New Roman" w:hAnsi="Times New Roman" w:cs="Times New Roman"/>
                      <w:sz w:val="20"/>
                      <w:szCs w:val="20"/>
                      <w:vertAlign w:val="subscript"/>
                    </w:rPr>
                    <w:t>1</w:t>
                  </w:r>
                  <w:r w:rsidRPr="0005639F">
                    <w:rPr>
                      <w:rFonts w:ascii="Times New Roman" w:eastAsia="Times New Roman" w:hAnsi="Times New Roman" w:cs="Times New Roman"/>
                      <w:sz w:val="20"/>
                      <w:szCs w:val="20"/>
                    </w:rPr>
                    <w:t>-NMR relaxation times, which will be discussed.</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Stark, A.; </w:t>
                  </w:r>
                  <w:r w:rsidRPr="0005639F">
                    <w:rPr>
                      <w:rFonts w:ascii="Times New Roman" w:eastAsia="Times New Roman" w:hAnsi="Times New Roman" w:cs="Times New Roman"/>
                      <w:sz w:val="20"/>
                      <w:szCs w:val="20"/>
                      <w:u w:val="single"/>
                    </w:rPr>
                    <w:t>Zidell</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u w:val="single"/>
                    </w:rPr>
                    <w:t xml:space="preserve"> A.W</w:t>
                  </w:r>
                  <w:r w:rsidRPr="0005639F">
                    <w:rPr>
                      <w:rFonts w:ascii="Times New Roman" w:eastAsia="Times New Roman" w:hAnsi="Times New Roman" w:cs="Times New Roman"/>
                      <w:sz w:val="20"/>
                      <w:szCs w:val="20"/>
                    </w:rPr>
                    <w:t xml:space="preserve">. Hoffmann, M.M. </w:t>
                  </w:r>
                  <w:r w:rsidRPr="0005639F">
                    <w:rPr>
                      <w:rFonts w:ascii="Times New Roman" w:eastAsia="Times New Roman" w:hAnsi="Times New Roman" w:cs="Times New Roman"/>
                      <w:i/>
                      <w:iCs/>
                      <w:sz w:val="20"/>
                      <w:szCs w:val="20"/>
                    </w:rPr>
                    <w:t>J. Mol. Liq.</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2011</w:t>
                  </w:r>
                  <w:r w:rsidRPr="0005639F">
                    <w:rPr>
                      <w:rFonts w:ascii="Times New Roman" w:eastAsia="Times New Roman" w:hAnsi="Times New Roman" w:cs="Times New Roman"/>
                      <w:sz w:val="20"/>
                      <w:szCs w:val="20"/>
                    </w:rPr>
                    <w:t>, Vol. 160, 166-179.</w:t>
                  </w:r>
                  <w:r w:rsidRPr="0005639F">
                    <w:rPr>
                      <w:rFonts w:ascii="Times New Roman" w:eastAsia="Times New Roman" w:hAnsi="Times New Roman" w:cs="Times New Roman"/>
                      <w:sz w:val="20"/>
                      <w:szCs w:val="20"/>
                    </w:rPr>
                    <w:br/>
                    <w:t xml:space="preserve">Hoffmann, M.M.; </w:t>
                  </w:r>
                  <w:r w:rsidRPr="0005639F">
                    <w:rPr>
                      <w:rFonts w:ascii="Times New Roman" w:eastAsia="Times New Roman" w:hAnsi="Times New Roman" w:cs="Times New Roman"/>
                      <w:sz w:val="20"/>
                      <w:szCs w:val="20"/>
                      <w:u w:val="single"/>
                    </w:rPr>
                    <w:t>Sylvester, E.D.</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Russo, J.W.</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J. Mol. Liq.</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2014</w:t>
                  </w:r>
                  <w:r w:rsidRPr="0005639F">
                    <w:rPr>
                      <w:rFonts w:ascii="Times New Roman" w:eastAsia="Times New Roman" w:hAnsi="Times New Roman" w:cs="Times New Roman"/>
                      <w:sz w:val="20"/>
                      <w:szCs w:val="20"/>
                    </w:rPr>
                    <w:t>, Vol. 199, 175-183.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2274207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AUTHORS (FIRST NAME, LAST NAME): </w:t>
                  </w:r>
                  <w:r w:rsidRPr="0005639F">
                    <w:rPr>
                      <w:rFonts w:ascii="Times New Roman" w:eastAsia="Times New Roman" w:hAnsi="Times New Roman" w:cs="Times New Roman"/>
                      <w:sz w:val="20"/>
                      <w:szCs w:val="20"/>
                      <w:u w:val="single"/>
                    </w:rPr>
                    <w:t>Jeffrey Whitford</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Sigma-Aldrich, Saint Louis, MO,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6" w:anchor="2274207" w:history="1">
                    <w:r w:rsidRPr="0005639F">
                      <w:rPr>
                        <w:rFonts w:ascii="Times New Roman" w:eastAsia="Times New Roman" w:hAnsi="Times New Roman" w:cs="Times New Roman"/>
                        <w:color w:val="0000FF"/>
                        <w:sz w:val="20"/>
                        <w:szCs w:val="20"/>
                        <w:u w:val="single"/>
                      </w:rPr>
                      <w:t>Green Chemistry In Practice at Sigma-Aldrich</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Abstract: Sigma-Aldrich has a strong tradition of sound environmental (green chemistry), social and fiscal responsibility performance. Sigma-Aldrich is committed to sustainable growth, which is good for the environment, people and customers. Over the past five years, Sigma-Aldrich has focused on broadening its product portfolio to help its customers reduce chemical related impact on human health and eliminate/minimize contamination of the environment through its dedicated, sustainable prevention program. Sigma-Aldrich’s scientists are also involved in this process by continuously searching for greener alternatives, and environmentally friendly reaction media to enable a more environmentally efficient manufacturing process. During this presentation, we will demonstrate the practical application of the 12 principles and how Sigma-Aldrich is translating them into tangible tools for the scientific community through real examples of our greener re-engineered processes/products.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2277383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Jennifer MacKellar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American Chemical Society, Washington, DC,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7" w:anchor="2277383" w:history="1">
                    <w:r w:rsidRPr="0005639F">
                      <w:rPr>
                        <w:rFonts w:ascii="Times New Roman" w:eastAsia="Times New Roman" w:hAnsi="Times New Roman" w:cs="Times New Roman"/>
                        <w:color w:val="0000FF"/>
                        <w:sz w:val="20"/>
                        <w:szCs w:val="20"/>
                        <w:u w:val="single"/>
                      </w:rPr>
                      <w:t>A Green Chemistry Education Roadmap: Charting the Future of Chemistry Education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Green chemistry and engineering have been gaining momentum over the past 25 years with the number of publications in this area growing exponentially each year. We see students asking for more information on these topics and a desire to use chemistry and engineering principles to address real world problems. Additionally, industrial employers are looking to hire students with expertise in sustainable practices and an understanding of systems thinking and life cycle. The 2011 Pike Research report has estimated that the green chemistry market will be a nearly $100 billion market by 2020 and many industry sectors are vying for their share.</w:t>
                  </w:r>
                  <w:r w:rsidRPr="0005639F">
                    <w:rPr>
                      <w:rFonts w:ascii="Times New Roman" w:eastAsia="Times New Roman" w:hAnsi="Times New Roman" w:cs="Times New Roman"/>
                      <w:sz w:val="20"/>
                      <w:szCs w:val="20"/>
                    </w:rPr>
                    <w:br/>
                    <w:t>However, we also have to deal with the very real constraints of our educators. They struggle with packed curriculum, small budgets and a lack of resources. With this realization, how can we replace existing course material with green chemistry lessons and principles? How can we train the best chemists to think about their chemistry holistically and sustainably without creating more work for our already strained educators? What resources are already out there and what needs still need to be met? A comprehensive evaluation of existing materials has never been done.</w:t>
                  </w:r>
                  <w:r w:rsidRPr="0005639F">
                    <w:rPr>
                      <w:rFonts w:ascii="Times New Roman" w:eastAsia="Times New Roman" w:hAnsi="Times New Roman" w:cs="Times New Roman"/>
                      <w:sz w:val="20"/>
                      <w:szCs w:val="20"/>
                    </w:rPr>
                    <w:br/>
                    <w:t>Taking all of these data points into consideration, it’s clear that now is the right time to chart a clear path forward for green chemistry and engineering education. We need to create consensus, chart a path forward and get this motivated community of stakeholders moving towards the same goal. This is where a road map can be very helpful. A road map clearly lays out the long-term and short-term strategic needs of a community and charts the path to achieve those goals. Creating such a plan for the green chemistry and engineering community will align stakeholders towards common goals, identify resources, clearly describe needed resources, and articulate the needs to help obtain the proper funding.</w:t>
                  </w:r>
                  <w:r w:rsidRPr="0005639F">
                    <w:rPr>
                      <w:rFonts w:ascii="Times New Roman" w:eastAsia="Times New Roman" w:hAnsi="Times New Roman" w:cs="Times New Roman"/>
                      <w:sz w:val="20"/>
                      <w:szCs w:val="20"/>
                    </w:rPr>
                    <w:br/>
                    <w:t xml:space="preserve">ACS GCI is a well-respected and established group within the green chemistry and engineering communities. Being housed within the largest scientific society in the world, GCI is a considered an unbiased and credible source for the latest green chemistry and engineering information. ACS GCI is recognized as a convener of stakeholders and well positioned to lead this effort. Education is a strategic priority for ACS GCI, and we are committed to </w:t>
                  </w:r>
                  <w:r w:rsidRPr="0005639F">
                    <w:rPr>
                      <w:rFonts w:ascii="Times New Roman" w:eastAsia="Times New Roman" w:hAnsi="Times New Roman" w:cs="Times New Roman"/>
                      <w:sz w:val="20"/>
                      <w:szCs w:val="20"/>
                    </w:rPr>
                    <w:lastRenderedPageBreak/>
                    <w:t>seeing the development of this road map through to completion.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2288157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Amy S. Cannon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Beyond Benign, Wilmington,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8" w:anchor="2288157" w:history="1">
                    <w:r w:rsidRPr="0005639F">
                      <w:rPr>
                        <w:rFonts w:ascii="Times New Roman" w:eastAsia="Times New Roman" w:hAnsi="Times New Roman" w:cs="Times New Roman"/>
                        <w:color w:val="0000FF"/>
                        <w:sz w:val="20"/>
                        <w:szCs w:val="20"/>
                        <w:u w:val="single"/>
                      </w:rPr>
                      <w:t>The Green Chemistry Commitment: Current programs and resources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Green Chemistry Commitment (GCC) is a consortium program aimed at bringing higher education institutions together around common goals and objectives to advance green chemistry education. The GCC is a voluntary, flexible program where chemistry departments commit to integrating green chemistry student learning objectives within their departments through different means and timelines. This presentation will reflect upon the growth of the program and discuss highlights and lessons learned. The presentation will also discuss resources that are being developed, including a resource guide for adopting green chemistry in the organic chemistry laboratory course in partnership with Sigma-Aldrich, and a toxicology working group that is focused on developing resources for teaching toxicology concepts in chemistry courses and programs.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1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2290042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Anita Mehta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chicago discovery solutions, Plainfield, IL,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49" w:anchor="2290042" w:history="1">
                    <w:r w:rsidRPr="0005639F">
                      <w:rPr>
                        <w:rFonts w:ascii="Times New Roman" w:eastAsia="Times New Roman" w:hAnsi="Times New Roman" w:cs="Times New Roman"/>
                        <w:b/>
                        <w:bCs/>
                        <w:color w:val="0000FF"/>
                        <w:sz w:val="20"/>
                        <w:szCs w:val="20"/>
                        <w:u w:val="single"/>
                      </w:rPr>
                      <w:t>Expanding Chemistry Frontiers: Efficient Air Stable Catalysts For Aqueous Chemistry Water and Chemosynthesis using “Synthetic Livers”.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Cross coupling reactions have been traditionally accomplished in organic solvents. Our work on developing catalysts that work entirely in water has resulted in the discovery of CAT- 53 type catalysts that are air stable and give excellent results in water as a solvent. The implications to green cost effective synthesis will be delineated</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A new sustainable technology involving Biomimetic catalysts that mimic biological oxidation processes for generation of metabolites would be discussed; efforts focused on invention of NCEs and better patient care will be presented</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2290607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Gary D. Bonomo</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Liverpool,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0" w:anchor="2290607" w:history="1">
                    <w:r w:rsidRPr="0005639F">
                      <w:rPr>
                        <w:rFonts w:ascii="Times New Roman" w:eastAsia="Times New Roman" w:hAnsi="Times New Roman" w:cs="Times New Roman"/>
                        <w:color w:val="0000FF"/>
                        <w:sz w:val="20"/>
                        <w:szCs w:val="20"/>
                        <w:u w:val="single"/>
                      </w:rPr>
                      <w:t>Role of green chemistry in general chemistry laboratory instruction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To increase safety and enhance awareness of environmental issues, three green chemistry labs were introduced to the General Chemistry Laboratory course at Syracuse University.</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In </w:t>
                  </w:r>
                  <w:r w:rsidRPr="0005639F">
                    <w:rPr>
                      <w:rFonts w:ascii="Times New Roman" w:eastAsia="Times New Roman" w:hAnsi="Times New Roman" w:cs="Times New Roman"/>
                      <w:i/>
                      <w:iCs/>
                      <w:sz w:val="20"/>
                      <w:szCs w:val="20"/>
                    </w:rPr>
                    <w:t>Vitamin C Clock Reaction,</w:t>
                  </w:r>
                  <w:r w:rsidRPr="0005639F">
                    <w:rPr>
                      <w:rFonts w:ascii="Times New Roman" w:eastAsia="Times New Roman" w:hAnsi="Times New Roman" w:cs="Times New Roman"/>
                      <w:sz w:val="20"/>
                      <w:szCs w:val="20"/>
                    </w:rPr>
                    <w:t xml:space="preserve"> relationship between reaction rate, reagent concentration and temperature was demonstrated using household items (Lugol’s iodine, hydrogen peroxide, and liquid laundry starch) that generated less hazardous waste than many other clock reactions; such as those using potassium iodide, ammonium persulfate and potassium nitrate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 case study found that each semester this lab is used for a class of 500 at Syracuse University $1,092 is saved in purchasing and waste disposal costs and waste is reduced from 29.5 gallons to 7.5 gallons</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In </w:t>
                  </w:r>
                  <w:r w:rsidRPr="0005639F">
                    <w:rPr>
                      <w:rFonts w:ascii="Times New Roman" w:eastAsia="Times New Roman" w:hAnsi="Times New Roman" w:cs="Times New Roman"/>
                      <w:i/>
                      <w:iCs/>
                      <w:sz w:val="20"/>
                      <w:szCs w:val="20"/>
                    </w:rPr>
                    <w:t>Chemistry of Recycling Aluminum,</w:t>
                  </w:r>
                  <w:r w:rsidRPr="0005639F">
                    <w:rPr>
                      <w:rFonts w:ascii="Times New Roman" w:eastAsia="Times New Roman" w:hAnsi="Times New Roman" w:cs="Times New Roman"/>
                      <w:sz w:val="20"/>
                      <w:szCs w:val="20"/>
                    </w:rPr>
                    <w:t xml:space="preserve"> students prepared alum from a piece of aluminum foil. They compared yield vs cost and found this method was not very cost effective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As a second part of the lab students used halloysite nano-clay to produce alum less expensively</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In </w:t>
                  </w:r>
                  <w:r w:rsidRPr="0005639F">
                    <w:rPr>
                      <w:rFonts w:ascii="Times New Roman" w:eastAsia="Times New Roman" w:hAnsi="Times New Roman" w:cs="Times New Roman"/>
                      <w:i/>
                      <w:iCs/>
                      <w:sz w:val="20"/>
                      <w:szCs w:val="20"/>
                    </w:rPr>
                    <w:t>Preparation and Viscosity of Biodiesel from Vegetable Oil</w:t>
                  </w:r>
                  <w:r w:rsidRPr="0005639F">
                    <w:rPr>
                      <w:rFonts w:ascii="Times New Roman" w:eastAsia="Times New Roman" w:hAnsi="Times New Roman" w:cs="Times New Roman"/>
                      <w:sz w:val="20"/>
                      <w:szCs w:val="20"/>
                    </w:rPr>
                    <w:t>, students prepared biodiesel fuel by transesterification of canola oil with potassium methoxide. Students measured relative viscosity of B100 (100% biodiesel) and B20 (20% biodiesel, 80% diesel) at room and ice bath temperatures, then made a recommendation for use in cold climates</w:t>
                  </w:r>
                  <w:r w:rsidRPr="0005639F">
                    <w:rPr>
                      <w:rFonts w:ascii="Times New Roman" w:eastAsia="Times New Roman" w:hAnsi="Times New Roman" w:cs="Times New Roman"/>
                      <w:sz w:val="20"/>
                      <w:szCs w:val="20"/>
                      <w:vertAlign w:val="superscript"/>
                    </w:rPr>
                    <w:t>5</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Zheng, H. </w:t>
                  </w:r>
                  <w:r w:rsidRPr="0005639F">
                    <w:rPr>
                      <w:rFonts w:ascii="Times New Roman" w:eastAsia="Times New Roman" w:hAnsi="Times New Roman" w:cs="Times New Roman"/>
                      <w:i/>
                      <w:iCs/>
                      <w:sz w:val="20"/>
                      <w:szCs w:val="20"/>
                    </w:rPr>
                    <w:t>Vitamin C Clock Reaction</w:t>
                  </w:r>
                  <w:r w:rsidRPr="0005639F">
                    <w:rPr>
                      <w:rFonts w:ascii="Times New Roman" w:eastAsia="Times New Roman" w:hAnsi="Times New Roman" w:cs="Times New Roman"/>
                      <w:sz w:val="20"/>
                      <w:szCs w:val="20"/>
                    </w:rPr>
                    <w:t>. Syracuse University, 2013.</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Cannon, A. </w:t>
                  </w:r>
                  <w:r w:rsidRPr="0005639F">
                    <w:rPr>
                      <w:rFonts w:ascii="Times New Roman" w:eastAsia="Times New Roman" w:hAnsi="Times New Roman" w:cs="Times New Roman"/>
                      <w:i/>
                      <w:iCs/>
                      <w:sz w:val="20"/>
                      <w:szCs w:val="20"/>
                    </w:rPr>
                    <w:t>Vitamin C Clock Reaction</w:t>
                  </w:r>
                  <w:r w:rsidRPr="0005639F">
                    <w:rPr>
                      <w:rFonts w:ascii="Times New Roman" w:eastAsia="Times New Roman" w:hAnsi="Times New Roman" w:cs="Times New Roman"/>
                      <w:sz w:val="20"/>
                      <w:szCs w:val="20"/>
                    </w:rPr>
                    <w:t>, Beyond Benign, 2015.</w:t>
                  </w:r>
                  <w:r w:rsidRPr="0005639F">
                    <w:rPr>
                      <w:rFonts w:ascii="Times New Roman" w:eastAsia="Times New Roman" w:hAnsi="Times New Roman" w:cs="Times New Roman"/>
                      <w:sz w:val="20"/>
                      <w:szCs w:val="20"/>
                    </w:rPr>
                    <w:br/>
                    <w:t>*Adapted from: “Getting off to a safe start – Using safer starting materials for chemical reactions” in Introduction to Green Chemistry: Instructional Activities for Introductory Chemistry, ACS, 2002.</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Abrams, N. </w:t>
                  </w:r>
                  <w:r w:rsidRPr="0005639F">
                    <w:rPr>
                      <w:rFonts w:ascii="Times New Roman" w:eastAsia="Times New Roman" w:hAnsi="Times New Roman" w:cs="Times New Roman"/>
                      <w:i/>
                      <w:iCs/>
                      <w:sz w:val="20"/>
                      <w:szCs w:val="20"/>
                    </w:rPr>
                    <w:t>Chemistry of Recycling Aluminum</w:t>
                  </w:r>
                  <w:r w:rsidRPr="0005639F">
                    <w:rPr>
                      <w:rFonts w:ascii="Times New Roman" w:eastAsia="Times New Roman" w:hAnsi="Times New Roman" w:cs="Times New Roman"/>
                      <w:sz w:val="20"/>
                      <w:szCs w:val="20"/>
                    </w:rPr>
                    <w:t>, SUNY ESF, 2007.</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xml:space="preserve">Miller, C. </w:t>
                  </w:r>
                  <w:r w:rsidRPr="0005639F">
                    <w:rPr>
                      <w:rFonts w:ascii="Times New Roman" w:eastAsia="Times New Roman" w:hAnsi="Times New Roman" w:cs="Times New Roman"/>
                      <w:i/>
                      <w:iCs/>
                      <w:sz w:val="20"/>
                      <w:szCs w:val="20"/>
                    </w:rPr>
                    <w:t>Synthesis of Alum from Clay</w:t>
                  </w:r>
                  <w:r w:rsidRPr="0005639F">
                    <w:rPr>
                      <w:rFonts w:ascii="Times New Roman" w:eastAsia="Times New Roman" w:hAnsi="Times New Roman" w:cs="Times New Roman"/>
                      <w:sz w:val="20"/>
                      <w:szCs w:val="20"/>
                    </w:rPr>
                    <w:t>, Syracuse University, 2013.</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vertAlign w:val="superscript"/>
                    </w:rPr>
                    <w:t>5</w:t>
                  </w:r>
                  <w:r w:rsidRPr="0005639F">
                    <w:rPr>
                      <w:rFonts w:ascii="Times New Roman" w:eastAsia="Times New Roman" w:hAnsi="Times New Roman" w:cs="Times New Roman"/>
                      <w:sz w:val="20"/>
                      <w:szCs w:val="20"/>
                    </w:rPr>
                    <w:t xml:space="preserve">Abrams, N. </w:t>
                  </w:r>
                  <w:r w:rsidRPr="0005639F">
                    <w:rPr>
                      <w:rFonts w:ascii="Times New Roman" w:eastAsia="Times New Roman" w:hAnsi="Times New Roman" w:cs="Times New Roman"/>
                      <w:i/>
                      <w:iCs/>
                      <w:sz w:val="20"/>
                      <w:szCs w:val="20"/>
                    </w:rPr>
                    <w:t>Preparation and Viscosity of Biodiesel from Vegetable Oil</w:t>
                  </w:r>
                  <w:r w:rsidRPr="0005639F">
                    <w:rPr>
                      <w:rFonts w:ascii="Times New Roman" w:eastAsia="Times New Roman" w:hAnsi="Times New Roman" w:cs="Times New Roman"/>
                      <w:sz w:val="20"/>
                      <w:szCs w:val="20"/>
                    </w:rPr>
                    <w:t>. SUNY ESF, 2007.</w:t>
                  </w:r>
                  <w:r w:rsidRPr="0005639F">
                    <w:rPr>
                      <w:rFonts w:ascii="Times New Roman" w:eastAsia="Times New Roman" w:hAnsi="Times New Roman" w:cs="Times New Roman"/>
                      <w:sz w:val="20"/>
                      <w:szCs w:val="20"/>
                    </w:rPr>
                    <w:br/>
                    <w:t>*Adapted from: Clark et. al, 2006,</w:t>
                  </w:r>
                  <w:r w:rsidRPr="0005639F">
                    <w:rPr>
                      <w:rFonts w:ascii="Times New Roman" w:eastAsia="Times New Roman" w:hAnsi="Times New Roman" w:cs="Times New Roman"/>
                      <w:i/>
                      <w:iCs/>
                      <w:sz w:val="20"/>
                      <w:szCs w:val="20"/>
                    </w:rPr>
                    <w:t xml:space="preserve"> J. Chem. Ed</w:t>
                  </w:r>
                  <w:r w:rsidRPr="0005639F">
                    <w:rPr>
                      <w:rFonts w:ascii="Times New Roman" w:eastAsia="Times New Roman" w:hAnsi="Times New Roman" w:cs="Times New Roman"/>
                      <w:sz w:val="20"/>
                      <w:szCs w:val="20"/>
                    </w:rPr>
                    <w:t>., 83(2), 257-259.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 xml:space="preserve">I was invited by Amy Cannon of Beyond Benign, who is working with George Ruger of New York University to organize the green chemistry symposium at NERM, to give an oral presentation about my incorporation of green chemistry into my general chemistry lab course at Syracuse University. I have not written a paper. Thank you for this opportunity. </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P.S. I am not a student, but cannot seem to deselect that option below. I am the general chemistry lab supervisor and instructor.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2215282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Labs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Ralph Stuart</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Environmental Health and Safety, Keene State College, Keene, NH,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1" w:anchor="2215282" w:history="1">
                    <w:r w:rsidRPr="0005639F">
                      <w:rPr>
                        <w:rFonts w:ascii="Times New Roman" w:eastAsia="Times New Roman" w:hAnsi="Times New Roman" w:cs="Times New Roman"/>
                        <w:color w:val="0000FF"/>
                        <w:sz w:val="20"/>
                        <w:szCs w:val="20"/>
                        <w:u w:val="single"/>
                      </w:rPr>
                      <w:t>Supporting safe, sustainable laboratories in the 21st century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Laboratories account for a disproportiate share of the carbon footprint on a college campus. This is driven by the high energy use by equipment and ventilaiton, heavy materials uses, and unusual wastes associated with laboratory work. In response to this challenge, many campuses are developing "Green Laboratories" programs that seek to find opportunities to conserve energy use while protecting laboratory workers' health and safety. This presentation will discuss the opportunities we've discovered in this work and opportunities for expanding this into the chemistry education practices.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2225924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Labs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Melissa Charlton-Smith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WVWC-1734, West Virginia Wesleyan College, Buckhannon, WV,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2" w:anchor="2225924" w:history="1">
                    <w:r w:rsidRPr="0005639F">
                      <w:rPr>
                        <w:rFonts w:ascii="Times New Roman" w:eastAsia="Times New Roman" w:hAnsi="Times New Roman" w:cs="Times New Roman"/>
                        <w:color w:val="0000FF"/>
                        <w:sz w:val="20"/>
                        <w:szCs w:val="20"/>
                        <w:u w:val="single"/>
                      </w:rPr>
                      <w:t>Green chemistry &amp; chemical hygiene, a marriage made in an undergraduate program?</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Chemical Hygiene and Green Chemistry truly go hand in hand. Chemical Hygiene Officers are the purveyors of chemical hygiene and green chemistry standards in laboratories. Since 1990 the Occupational Safety and Health Administration's lab standard has required a Chemical Hygiene Officer (CHO) in laboratories working with chemicals, however, formal education in the profession has never been standardized. West Virginia Wesleyan College is the first institution of higher education to offer a Chemical Hygiene and Safety (CHS) major specifically designed to produce certifiable CHO's with a firm grasp of chemistry, chemical safety and green chemistry practices. Key program elements include a traditional background comparable to a chemistry BS degree with additional coursework in chemical hygiene, industrial hygiene, HAZWOPER and Toxicology. This presentation will discuss the motivation behind this original program, implementation and how the program emphasizes, utilizes and integrates the twelve principles of green chemistry.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2225973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Labs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Ellen Sweet</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Environmental Health and Safety, Cornell University, Aurora,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3" w:anchor="2225973" w:history="1">
                    <w:r w:rsidRPr="0005639F">
                      <w:rPr>
                        <w:rFonts w:ascii="Times New Roman" w:eastAsia="Times New Roman" w:hAnsi="Times New Roman" w:cs="Times New Roman"/>
                        <w:color w:val="0000FF"/>
                        <w:sz w:val="20"/>
                        <w:szCs w:val="20"/>
                        <w:u w:val="single"/>
                      </w:rPr>
                      <w:t>A strategy with lab ventilation management to enhance sustainability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Incorporating operational strategies in laboratories that reinforce the long term ability for organizations to support science is a challenge that is often seen to compete with health and safety. A balanced approach to managing energy usage through proper chemical management and reducing heat generation allows the organization to lower ventilation rates and maintain the health of occupants of the laboratory. This presentation will discuss this approach to sustainability through the development of a Green Labs program.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2213336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Polymers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Geoffrey W. Coates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4" w:anchor="2213336" w:history="1">
                    <w:r w:rsidRPr="0005639F">
                      <w:rPr>
                        <w:rFonts w:ascii="Times New Roman" w:eastAsia="Times New Roman" w:hAnsi="Times New Roman" w:cs="Times New Roman"/>
                        <w:color w:val="0000FF"/>
                        <w:sz w:val="20"/>
                        <w:szCs w:val="20"/>
                        <w:u w:val="single"/>
                      </w:rPr>
                      <w:t>Development of new routes to benign polymeric materials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Society depends on polymeric materials now more than at any other time in history. Although synthetic polymers are indispensable in a diverse array of applications, ranging from commodity packaging and structural materials to technologically complex biomedical and electronic devices, their synthesis and post-use fate pose important environmental challenges. The focus of our research is the development of new routes to polymers with reduced environmental impact. In this work, we aim to transition from fossil fuels to renewable resources, and are developing synthetic methods that limit energy and raw-material consumption. In addition, we are designing materials that will eventually degrade into non-toxic materials, and have properties comparable to current commodity plastics. In this lecture, the development of new methods for the synthesis of sustainable polymers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2245913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Polymers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Christopher T. Nomura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SUNY-ESF,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155" w:anchor="2245913" w:history="1">
                    <w:r w:rsidRPr="0005639F">
                      <w:rPr>
                        <w:rFonts w:ascii="Times New Roman" w:eastAsia="Times New Roman" w:hAnsi="Times New Roman" w:cs="Times New Roman"/>
                        <w:color w:val="0000FF"/>
                        <w:sz w:val="20"/>
                        <w:szCs w:val="20"/>
                        <w:u w:val="single"/>
                      </w:rPr>
                      <w:t>Engineering bacteria for the production biodegradable plastics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Poly-3-hydroxyalkanoates (PHAs) have attracted great interest as environmentally friendly replacements of petroleum-based plastics and have potential applications as bulk-commodity plastics and biomaterials for biomedical use. The physical properties of PHA polymers are dictated by their repeating unit composition and can be divided into three main classes: short-chain-length (SCL) PHA polymers are made up of repeating units of 3-5 carbons and exhibit thermoplastic properties, medium-chain-length (MCL) PHA polymers are made up of repeating units of 6-14 carbons and exhibit elastomeric properties and SCL-MCL PHA copolymers that exhibit a range of physical properties dependent on the mol ratio of SCL to MCL repeating units in the polymer. Our lab is interested in understanding what metabolic pathways in bacteria are used to generate PHA polymers. In this presentation, I will discuss some of the new pathways and methods we have designed to produce PHAs in bacteria and explore some new applications.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2292115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Green Polymers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Ivan G. Ivanov</w:t>
                  </w:r>
                  <w:r w:rsidRPr="0005639F">
                    <w:rPr>
                      <w:rFonts w:ascii="Times New Roman" w:eastAsia="Times New Roman" w:hAnsi="Times New Roman" w:cs="Times New Roman"/>
                      <w:sz w:val="20"/>
                      <w:szCs w:val="20"/>
                      <w:vertAlign w:val="superscript"/>
                    </w:rPr>
                    <w:t>1, 2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SUNY ESF, Syracuse, NY, United States. </w:t>
                  </w:r>
                  <w:r w:rsidRPr="0005639F">
                    <w:rPr>
                      <w:rFonts w:ascii="Times New Roman" w:eastAsia="Times New Roman" w:hAnsi="Times New Roman" w:cs="Times New Roman"/>
                      <w:sz w:val="20"/>
                      <w:szCs w:val="20"/>
                    </w:rPr>
                    <w:br/>
                    <w:t xml:space="preserve">2. The Michael M. Szwarc Polymer Research Institute,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6" w:anchor="2292115" w:history="1">
                    <w:r w:rsidRPr="0005639F">
                      <w:rPr>
                        <w:rFonts w:ascii="Times New Roman" w:eastAsia="Times New Roman" w:hAnsi="Times New Roman" w:cs="Times New Roman"/>
                        <w:color w:val="0000FF"/>
                        <w:sz w:val="20"/>
                        <w:szCs w:val="20"/>
                        <w:u w:val="single"/>
                      </w:rPr>
                      <w:t>Polymers in Service of "Green" Chemistry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application of natural processes, based on biosynthesis and biocatalysis and the use of environmentally friendly solvents under minimal energy consumption have become major focus areas for academic and industrial research. Despite the exponentially growing number of publications on enzyme-assisted syntheses, organic reactions in water, and reactions in aqueous micellar systems, the incorporation of these procedures into a single, cohesive and environmentally friendly process has not been adequately accomplished. This talk will present an alternative ‘modus operandi’ for the synthesis of hydrophobic substrates of biological, pharmaceutical or biotechnological importance, which will encompass all three elements in a single entity. The strategy is based on the previously discovered ability of certain linear-dendritic copolymers to adhere on surfaces of synthetic and natural polymers. The regioselective adsorption of AB and ABA block copolymers consisting of poly(ethylene glycol) as the A block and dendritic poly(benzyl ethers) as the B block(s) onto the glycoside domains of the oxidative enzyme laccase will be discussed in detail. It will be shown that the semi-artificial enzyme formed is able to catalyze the oxidation and/or polymerization of phenols and polyaromatic hydrocarbons under “green chemistry” conditions.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2222118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Catherine M. Lavin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Alan G. Goos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Damian G. Allis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Karin Ruhlandt-Senge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7" w:anchor="2222118" w:history="1">
                    <w:r w:rsidRPr="0005639F">
                      <w:rPr>
                        <w:rFonts w:ascii="Times New Roman" w:eastAsia="Times New Roman" w:hAnsi="Times New Roman" w:cs="Times New Roman"/>
                        <w:color w:val="0000FF"/>
                        <w:sz w:val="20"/>
                        <w:szCs w:val="20"/>
                        <w:u w:val="single"/>
                      </w:rPr>
                      <w:t>Competition between ligation and solvation in heavy alkaline earth metal tetraarylborates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One of the challenges in heavy alkaline earth metal chemistry is the limited ability to accurately predict the structures of these compounds due to the significant influence of numerous factors responsible for achieving steric saturation for the large metal centers. Recent work has aptly demonstrated the impact of non-covalent interactions in controlling the structural chemistry of the target compounds. Thus, considering the close correlation between structure and function, non-covalent interactions play a unique role in providing the physical properties needed for particular applications.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This project is based on tetraarylborates due to their various substitution patterns and their ability to provide metal-π interactions to investigate the structure determining factors in heavy alkaline earth metal complexes. These novel compounds demonstrate the importance of ligand and solvent choice to achieve the desired structures along with the competition between ligation and solvation, thus providing insight into the critical role of secondary interactions on structural pattern and ion association modes.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2247191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Matthew C. Barry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Evgeny Dikarev</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of Albany Suny, Albany,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8" w:anchor="2247191" w:history="1">
                    <w:r w:rsidRPr="0005639F">
                      <w:rPr>
                        <w:rFonts w:ascii="Times New Roman" w:eastAsia="Times New Roman" w:hAnsi="Times New Roman" w:cs="Times New Roman"/>
                        <w:b/>
                        <w:bCs/>
                        <w:color w:val="0000FF"/>
                        <w:sz w:val="20"/>
                        <w:szCs w:val="20"/>
                        <w:u w:val="single"/>
                      </w:rPr>
                      <w:t>Design of the first volatile precursors for low-temperature synthesis of up-conversion NaREF</w:t>
                    </w:r>
                    <w:r w:rsidRPr="0005639F">
                      <w:rPr>
                        <w:rFonts w:ascii="Times New Roman" w:eastAsia="Times New Roman" w:hAnsi="Times New Roman" w:cs="Times New Roman"/>
                        <w:b/>
                        <w:bCs/>
                        <w:color w:val="0000FF"/>
                        <w:sz w:val="20"/>
                        <w:szCs w:val="20"/>
                        <w:u w:val="single"/>
                        <w:vertAlign w:val="subscript"/>
                      </w:rPr>
                      <w:t>4</w:t>
                    </w:r>
                    <w:r w:rsidRPr="0005639F">
                      <w:rPr>
                        <w:rFonts w:ascii="Times New Roman" w:eastAsia="Times New Roman" w:hAnsi="Times New Roman" w:cs="Times New Roman"/>
                        <w:b/>
                        <w:bCs/>
                        <w:color w:val="0000FF"/>
                        <w:sz w:val="20"/>
                        <w:szCs w:val="20"/>
                        <w:u w:val="single"/>
                      </w:rPr>
                      <w:t xml:space="preserve"> materials.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A new approach to design single-source precursors for the most efficient up- and down-conversion materials is reported. Heterobimetallic fluorinated </w:t>
                  </w:r>
                  <w:r w:rsidRPr="0005639F">
                    <w:rPr>
                      <w:rFonts w:ascii="Times New Roman" w:eastAsia="Times New Roman" w:hAnsi="Times New Roman" w:cs="Times New Roman"/>
                      <w:i/>
                      <w:iCs/>
                      <w:sz w:val="20"/>
                      <w:szCs w:val="20"/>
                    </w:rPr>
                    <w:t>β-</w:t>
                  </w:r>
                  <w:r w:rsidRPr="0005639F">
                    <w:rPr>
                      <w:rFonts w:ascii="Times New Roman" w:eastAsia="Times New Roman" w:hAnsi="Times New Roman" w:cs="Times New Roman"/>
                      <w:sz w:val="20"/>
                      <w:szCs w:val="20"/>
                    </w:rPr>
                    <w:t>diketonates NaRE(</w:t>
                  </w:r>
                  <w:r w:rsidRPr="0005639F">
                    <w:rPr>
                      <w:rFonts w:ascii="Times New Roman" w:eastAsia="Times New Roman" w:hAnsi="Times New Roman" w:cs="Times New Roman"/>
                      <w:i/>
                      <w:iCs/>
                      <w:sz w:val="20"/>
                      <w:szCs w:val="20"/>
                    </w:rPr>
                    <w:t>β-</w:t>
                  </w:r>
                  <w:r w:rsidRPr="0005639F">
                    <w:rPr>
                      <w:rFonts w:ascii="Times New Roman" w:eastAsia="Times New Roman" w:hAnsi="Times New Roman" w:cs="Times New Roman"/>
                      <w:sz w:val="20"/>
                      <w:szCs w:val="20"/>
                    </w:rPr>
                    <w:t>dik)</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(RE = rare earth) with a proper Na:RE ratio have been obtained with high yields through a simple, one-pot synthesis that utilizes commercially available reagents. Compounds were found to be highly volatile and to retain their heterometallic structure in the gas phase as well as in solution. Thermal decomposition of diketonate precursors affords target fluoride materials in the form of </w:t>
                  </w:r>
                  <w:r w:rsidRPr="0005639F">
                    <w:rPr>
                      <w:rFonts w:ascii="Times New Roman" w:eastAsia="Times New Roman" w:hAnsi="Times New Roman" w:cs="Times New Roman"/>
                      <w:i/>
                      <w:iCs/>
                      <w:sz w:val="20"/>
                      <w:szCs w:val="20"/>
                    </w:rPr>
                    <w:t>α-</w:t>
                  </w:r>
                  <w:r w:rsidRPr="0005639F">
                    <w:rPr>
                      <w:rFonts w:ascii="Times New Roman" w:eastAsia="Times New Roman" w:hAnsi="Times New Roman" w:cs="Times New Roman"/>
                      <w:sz w:val="20"/>
                      <w:szCs w:val="20"/>
                    </w:rPr>
                    <w:t xml:space="preserve">cubic or </w:t>
                  </w:r>
                  <w:r w:rsidRPr="0005639F">
                    <w:rPr>
                      <w:rFonts w:ascii="Times New Roman" w:eastAsia="Times New Roman" w:hAnsi="Times New Roman" w:cs="Times New Roman"/>
                      <w:i/>
                      <w:iCs/>
                      <w:sz w:val="20"/>
                      <w:szCs w:val="20"/>
                    </w:rPr>
                    <w:t>β-</w:t>
                  </w:r>
                  <w:r w:rsidRPr="0005639F">
                    <w:rPr>
                      <w:rFonts w:ascii="Times New Roman" w:eastAsia="Times New Roman" w:hAnsi="Times New Roman" w:cs="Times New Roman"/>
                      <w:sz w:val="20"/>
                      <w:szCs w:val="20"/>
                    </w:rPr>
                    <w:t>hexagonal NaREF</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phase under relatively mild conditions. Synthesis, characterization, and thermal decomposition of a new class of single-source precursors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2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2252753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Michael G. Campbell</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Dennis Sheberla</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Sophie Liu</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Timothy M. Swager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Mircea Dinca</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MIT, Cambridge, MA, United States. </w:t>
                  </w:r>
                  <w:r w:rsidRPr="0005639F">
                    <w:rPr>
                      <w:rFonts w:ascii="Times New Roman" w:eastAsia="Times New Roman" w:hAnsi="Times New Roman" w:cs="Times New Roman"/>
                      <w:sz w:val="20"/>
                      <w:szCs w:val="20"/>
                    </w:rPr>
                    <w:br/>
                    <w:t xml:space="preserve">2. Building 2-321, MIT, Cambridge, MA, United States. </w:t>
                  </w:r>
                  <w:r w:rsidRPr="0005639F">
                    <w:rPr>
                      <w:rFonts w:ascii="Times New Roman" w:eastAsia="Times New Roman" w:hAnsi="Times New Roman" w:cs="Times New Roman"/>
                      <w:sz w:val="20"/>
                      <w:szCs w:val="20"/>
                    </w:rPr>
                    <w:br/>
                    <w:t xml:space="preserve">3. Chemistry, MIT, Cambridge,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59" w:anchor="2252753" w:history="1">
                    <w:r w:rsidRPr="0005639F">
                      <w:rPr>
                        <w:rFonts w:ascii="Times New Roman" w:eastAsia="Times New Roman" w:hAnsi="Times New Roman" w:cs="Times New Roman"/>
                        <w:color w:val="0000FF"/>
                        <w:sz w:val="20"/>
                        <w:szCs w:val="20"/>
                        <w:u w:val="single"/>
                      </w:rPr>
                      <w:t>Electrically Conductive 2D Metal–Organic Frameworks for Chemiresistive Sensing</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There has been significant interest in using metal–organic frameworks (MOFs) as next-generation functional materials in electronic devices. Due to their high surface area and robust chemical tunability based on a “bottom-up” synthetic approach, MOFs have been especially targeted for use in sensors. An ongoing challenge, however, has been a lack of efficient signal transduction due in large part to the fact that the vast majority of MOFs are insulators. Here we describe the first successful use of conductive MOFs in chemiresistive sensors, enabled by a new family of 2D MOFs with high electrical conductivity. Sensors fabricated from the 2D MOF Cu</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(HITP)</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(HITP = 2,3,6,7,10,11-hexaiminotriphenylene) exhibit reversible, quantitative detection of ammonia vapor at sub-ppm levels. This sensitivity is competitive with values reported for sensors based on carbon nanotubes (CNTs), conductive organic polymers, and metal chalcogenides (</w:t>
                  </w:r>
                  <w:r w:rsidRPr="0005639F">
                    <w:rPr>
                      <w:rFonts w:ascii="Times New Roman" w:eastAsia="Times New Roman" w:hAnsi="Times New Roman" w:cs="Times New Roman"/>
                      <w:i/>
                      <w:iCs/>
                      <w:sz w:val="20"/>
                      <w:szCs w:val="20"/>
                    </w:rPr>
                    <w:t>e.g.</w:t>
                  </w:r>
                  <w:r w:rsidRPr="0005639F">
                    <w:rPr>
                      <w:rFonts w:ascii="Times New Roman" w:eastAsia="Times New Roman" w:hAnsi="Times New Roman" w:cs="Times New Roman"/>
                      <w:sz w:val="20"/>
                      <w:szCs w:val="20"/>
                    </w:rPr>
                    <w:t xml:space="preserve"> MoS</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Rational synthetic variation of the 2D MOF structure can be used to tune the chemiresistive response to various analytes, allowing for selective detection and/or analyte identification. Finally, data pertaining to sensing mechanism with 2D MOFs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2255304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Valerie Lopez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Matthew D. Lijewski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Victoria N. Bampoh</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Karin Ruhlandt-Senge</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Syracuse, NY, United States. </w:t>
                  </w:r>
                  <w:r w:rsidRPr="0005639F">
                    <w:rPr>
                      <w:rFonts w:ascii="Times New Roman" w:eastAsia="Times New Roman" w:hAnsi="Times New Roman" w:cs="Times New Roman"/>
                      <w:sz w:val="20"/>
                      <w:szCs w:val="20"/>
                    </w:rPr>
                    <w:br/>
                    <w:t xml:space="preserve">2. Department of Chemistry, Syracuse University, Syracuse, NY, United States. </w:t>
                  </w:r>
                  <w:r w:rsidRPr="0005639F">
                    <w:rPr>
                      <w:rFonts w:ascii="Times New Roman" w:eastAsia="Times New Roman" w:hAnsi="Times New Roman" w:cs="Times New Roman"/>
                      <w:sz w:val="20"/>
                      <w:szCs w:val="20"/>
                    </w:rPr>
                    <w:br/>
                    <w:t xml:space="preserve">3. University of Minnesota, Rochester, MN,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0" w:anchor="2255304" w:history="1">
                    <w:r w:rsidRPr="0005639F">
                      <w:rPr>
                        <w:rFonts w:ascii="Times New Roman" w:eastAsia="Times New Roman" w:hAnsi="Times New Roman" w:cs="Times New Roman"/>
                        <w:color w:val="0000FF"/>
                        <w:sz w:val="20"/>
                        <w:szCs w:val="20"/>
                        <w:u w:val="single"/>
                      </w:rPr>
                      <w:t>Calcium arylphosphonates for bone therapy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quest for bioactive and biocompatible materials for bone therapy is of growing importance, as currently used materials display significant limitations. Our work utilizes bisphosphonates, a chemical entity used in various common drugs to treat bone diseases, in conjunction with calcium to obtain biocompatible and bioactive metal organic frameworks (MOFs). These materials are expected to be mechanically strong, light-weight, and flexible. Different geometries for the resulting MOF can be tailored by using specific ligand topology. In addition, studies using aryl phoshonates have concluded that the substitution pattern has an effect on the dimensionality and pore size of the complexes. The understanding of this allows for the design of materials with a defined surface area and pattern that will ultimately allow optimal interaction with the bone tissue. This talk will discuss the effects of ligand topology on the structural properties.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2278049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Claire A. Krasinski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Benjamin L. Solomon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Christopher P. Landee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Mark M. Turnbull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Jan L. Wikaira</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Clark University, Worcester, MA, United States. </w:t>
                  </w:r>
                  <w:r w:rsidRPr="0005639F">
                    <w:rPr>
                      <w:rFonts w:ascii="Times New Roman" w:eastAsia="Times New Roman" w:hAnsi="Times New Roman" w:cs="Times New Roman"/>
                      <w:sz w:val="20"/>
                      <w:szCs w:val="20"/>
                    </w:rPr>
                    <w:br/>
                    <w:t xml:space="preserve">2. Physics, Clark University, Worcester, MA, United States. </w:t>
                  </w:r>
                  <w:r w:rsidRPr="0005639F">
                    <w:rPr>
                      <w:rFonts w:ascii="Times New Roman" w:eastAsia="Times New Roman" w:hAnsi="Times New Roman" w:cs="Times New Roman"/>
                      <w:sz w:val="20"/>
                      <w:szCs w:val="20"/>
                    </w:rPr>
                    <w:br/>
                    <w:t xml:space="preserve">3. Chemistry, University of Canterbury, Christchurch, New Zealand.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1" w:anchor="2278049" w:history="1">
                    <w:r w:rsidRPr="0005639F">
                      <w:rPr>
                        <w:rFonts w:ascii="Times New Roman" w:eastAsia="Times New Roman" w:hAnsi="Times New Roman" w:cs="Times New Roman"/>
                        <w:color w:val="0000FF"/>
                        <w:sz w:val="20"/>
                        <w:szCs w:val="20"/>
                        <w:u w:val="single"/>
                      </w:rPr>
                      <w:t>Copper(II) halide salts and complexes of 4-amino-2-fluoropyridine: Synthesis, structure and magnetic properties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Salts and coordination complexes of substituted pyridine molecules with copper(II) halide ions provide a wealth of compounds for the study of magnetic exchange through halide ions. In the case of the neutral complexes, [(n-Supy)</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CuX</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(Su = substituent; X = Cl, Br), the nature and position of the substituents on the pyridine ring not only affect the local geometry at the Cu(II) ion, but also are major contributors to the packing of the molecules in the crystal lattice. In the case of salts with the general formula (n-SuphH)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CuX</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the protonated organic cations dictate the packing of the tetrahalocuprate ions through a combination of electronic, steric and hydrogen bonding effects. The resultant lattice of CuX</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anions then exhibits magnetic superexchange via the two-halide pathway (Cu-X</w:t>
                  </w:r>
                  <w:r w:rsidRPr="0005639F">
                    <w:rPr>
                      <w:rFonts w:ascii="Times New Roman" w:eastAsia="Times New Roman" w:hAnsi="Times New Roman" w:cs="Times New Roman"/>
                      <w:b/>
                      <w:bCs/>
                      <w:sz w:val="20"/>
                      <w:szCs w:val="20"/>
                      <w:vertAlign w:val="superscript"/>
                    </w:rPr>
                    <w:t>…</w:t>
                  </w:r>
                  <w:r w:rsidRPr="0005639F">
                    <w:rPr>
                      <w:rFonts w:ascii="Times New Roman" w:eastAsia="Times New Roman" w:hAnsi="Times New Roman" w:cs="Times New Roman"/>
                      <w:sz w:val="20"/>
                      <w:szCs w:val="20"/>
                    </w:rPr>
                    <w:t>X-Cu). We have studied a wide variety of these complexes and salts with special attention to compounds of substituted 2-aminopyridine. Here we describe recent results where the isomeric parent compound, 4-aminopyridine, has been used. The syntheses, structures and magnetic properties of [(4-amino-2-fluoropy)</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CuX</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and (4-amino-2-fluoropyH)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CuX</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2281107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Haixiang Han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Zheng Wei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Evgeny Dikarev</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University at Albany, SUNY, Albany,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2" w:anchor="2281107" w:history="1">
                    <w:r w:rsidRPr="0005639F">
                      <w:rPr>
                        <w:rFonts w:ascii="Times New Roman" w:eastAsia="Times New Roman" w:hAnsi="Times New Roman" w:cs="Times New Roman"/>
                        <w:color w:val="0000FF"/>
                        <w:sz w:val="20"/>
                        <w:szCs w:val="20"/>
                        <w:u w:val="single"/>
                      </w:rPr>
                      <w:t>Asymmetric ligand approach to design heterometallic molecular precursors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Asymmetric ligands, that feature different substituents at the two ends of the ligand, have been utilized for the preparation of three molecular heterometallic precursors Li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(dhd)</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 xml:space="preserve"> (dhd = 2,2-dimethyl-hexanedionate), Li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(tbaoac)</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 xml:space="preserve"> (tbaoac = </w:t>
                  </w:r>
                  <w:r w:rsidRPr="0005639F">
                    <w:rPr>
                      <w:rFonts w:ascii="Times New Roman" w:eastAsia="Times New Roman" w:hAnsi="Times New Roman" w:cs="Times New Roman"/>
                      <w:i/>
                      <w:iCs/>
                      <w:sz w:val="20"/>
                      <w:szCs w:val="20"/>
                    </w:rPr>
                    <w:t>tert</w:t>
                  </w:r>
                  <w:r w:rsidRPr="0005639F">
                    <w:rPr>
                      <w:rFonts w:ascii="Times New Roman" w:eastAsia="Times New Roman" w:hAnsi="Times New Roman" w:cs="Times New Roman"/>
                      <w:sz w:val="20"/>
                      <w:szCs w:val="20"/>
                    </w:rPr>
                    <w:t>-butyl acetoacetate), and Li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(ptac)</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 xml:space="preserve"> (ptac = 1,1,1-trifluoro-5,5-dimethyl-2,4-hexanedionate). The nature of the asymmetric ligands employed results in a different bridging connectivity properties at the two coordinating oxygen sites and allows one to design the heterometallic assembly with discrete molecular structure. The title heterometallic compounds were shown to act as effective single-source precursors for the low-temperature preparation of the LiCoO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battery cathode material. Diamagnetic complex Li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Mg</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(tbaoac)</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 an analogue of Li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L</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 xml:space="preserve"> molecules, was isolated and utilized to investigate the retention of heterometallic structure in solution by multinuclear NMR spectroscopy.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2283120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Andrew G. Bellesis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Mark M. Turnbull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Christopher P. Landee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Jan L. Wikaira</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Matthew Polson</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Clark University, Worcester, MA, United States. </w:t>
                  </w:r>
                  <w:r w:rsidRPr="0005639F">
                    <w:rPr>
                      <w:rFonts w:ascii="Times New Roman" w:eastAsia="Times New Roman" w:hAnsi="Times New Roman" w:cs="Times New Roman"/>
                      <w:sz w:val="20"/>
                      <w:szCs w:val="20"/>
                    </w:rPr>
                    <w:br/>
                    <w:t xml:space="preserve">2. Physics, Clark University, Worcester, MA, United States. </w:t>
                  </w:r>
                  <w:r w:rsidRPr="0005639F">
                    <w:rPr>
                      <w:rFonts w:ascii="Times New Roman" w:eastAsia="Times New Roman" w:hAnsi="Times New Roman" w:cs="Times New Roman"/>
                      <w:sz w:val="20"/>
                      <w:szCs w:val="20"/>
                    </w:rPr>
                    <w:br/>
                    <w:t xml:space="preserve">3. Chemistry, University of Canterbury, Christchurch, New Zealand.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3" w:anchor="2283120" w:history="1">
                    <w:r w:rsidRPr="0005639F">
                      <w:rPr>
                        <w:rFonts w:ascii="Times New Roman" w:eastAsia="Times New Roman" w:hAnsi="Times New Roman" w:cs="Times New Roman"/>
                        <w:b/>
                        <w:bCs/>
                        <w:color w:val="0000FF"/>
                        <w:sz w:val="20"/>
                        <w:szCs w:val="20"/>
                        <w:u w:val="single"/>
                      </w:rPr>
                      <w:t>Unusual Redox Reactions in the Synthesis of Copper Coordination Compounds: The Synthesis of bis(5-NAP)CuCl</w:t>
                    </w:r>
                    <w:r w:rsidRPr="0005639F">
                      <w:rPr>
                        <w:rFonts w:ascii="Times New Roman" w:eastAsia="Times New Roman" w:hAnsi="Times New Roman" w:cs="Times New Roman"/>
                        <w:b/>
                        <w:bCs/>
                        <w:color w:val="0000FF"/>
                        <w:sz w:val="20"/>
                        <w:szCs w:val="20"/>
                        <w:u w:val="single"/>
                        <w:vertAlign w:val="subscript"/>
                      </w:rPr>
                      <w:t>2</w:t>
                    </w:r>
                    <w:r w:rsidRPr="0005639F">
                      <w:rPr>
                        <w:rFonts w:ascii="Times New Roman" w:eastAsia="Times New Roman" w:hAnsi="Times New Roman" w:cs="Times New Roman"/>
                        <w:b/>
                        <w:bCs/>
                        <w:color w:val="0000FF"/>
                        <w:sz w:val="20"/>
                        <w:szCs w:val="20"/>
                        <w:u w:val="single"/>
                      </w:rPr>
                      <w:t xml:space="preserve"> and Multiple Polymorphs of bis(5-NAPH)CuCl</w:t>
                    </w:r>
                    <w:r w:rsidRPr="0005639F">
                      <w:rPr>
                        <w:rFonts w:ascii="Times New Roman" w:eastAsia="Times New Roman" w:hAnsi="Times New Roman" w:cs="Times New Roman"/>
                        <w:b/>
                        <w:bCs/>
                        <w:color w:val="0000FF"/>
                        <w:sz w:val="20"/>
                        <w:szCs w:val="20"/>
                        <w:u w:val="single"/>
                        <w:vertAlign w:val="subscript"/>
                      </w:rPr>
                      <w:t>4</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We are involved in a project to synthesize and magnetically characterize copper coordination compounds of the type L</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CuX</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where L is a substituted pyridine ligand and X is a halide ion. These compounds are low-dimensional Heisenberg Antiferromagnets; the magnetic behavior is known to depend on superexchange pathways that are dependent on structure. The synthesis of this family of compounds is important in expanding knowledge in both synthetic inorganic chemistry and applications of theoretical physics.</w:t>
                  </w:r>
                  <w:r w:rsidRPr="0005639F">
                    <w:rPr>
                      <w:rFonts w:ascii="Times New Roman" w:eastAsia="Times New Roman" w:hAnsi="Times New Roman" w:cs="Times New Roman"/>
                      <w:sz w:val="20"/>
                      <w:szCs w:val="20"/>
                    </w:rPr>
                    <w:br/>
                    <w:t>Here, we present the synthesis, crystal structure, and magnetic properties of bis(2-amino-5-nitropyridine)CuCl</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The synthesis is of particular interest due to unusual oxidation-reduction reactions. When dissolved in various organic solvents at high temperatures, bis(2-amino-5-nitropyridine)CuCl</w:t>
                  </w:r>
                  <w:r w:rsidRPr="0005639F">
                    <w:rPr>
                      <w:rFonts w:ascii="Times New Roman" w:eastAsia="Times New Roman" w:hAnsi="Times New Roman" w:cs="Times New Roman"/>
                      <w:sz w:val="20"/>
                      <w:szCs w:val="20"/>
                      <w:vertAlign w:val="subscript"/>
                    </w:rPr>
                    <w:t xml:space="preserve">2 </w:t>
                  </w:r>
                  <w:r w:rsidRPr="0005639F">
                    <w:rPr>
                      <w:rFonts w:ascii="Times New Roman" w:eastAsia="Times New Roman" w:hAnsi="Times New Roman" w:cs="Times New Roman"/>
                      <w:sz w:val="20"/>
                      <w:szCs w:val="20"/>
                    </w:rPr>
                    <w:t>reacts with atmospheric oxygen and is reduced to produce multiple polymorphs of bis(2-amino-5-nitropyridinium)CuCl</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The reduced and oxidized compounds exist in a temperature-dependent equilibrium in solution and are stable in air as the dry solids. Synthesis, crystallographic information, magnetic data and proposed reaction mechanisms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2286485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Kelley Donaghy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Kathleen Saxton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ESF, La Fayette,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4" w:anchor="2286485" w:history="1">
                    <w:r w:rsidRPr="0005639F">
                      <w:rPr>
                        <w:rFonts w:ascii="Times New Roman" w:eastAsia="Times New Roman" w:hAnsi="Times New Roman" w:cs="Times New Roman"/>
                        <w:color w:val="0000FF"/>
                        <w:sz w:val="20"/>
                        <w:szCs w:val="20"/>
                        <w:u w:val="single"/>
                      </w:rPr>
                      <w:t>Reactions of icosahedral carboranes with inorganic and organic azides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Applications of icosahedral dicarboranes to medicine, materials science, and polymer chemistry have been driven by the properties of high thermal stability and resistance to acid decomposition. Recently interest in being able to attach dicarboranes to organic compounds via a Huisgen 1,3-cycloaddition has become of interest. En-route to an azide substituted closo-dicarborane, we observed degradation of 1,2-(1-bromo-methyl-2-methyl)-dicarborane to a </w:t>
                  </w:r>
                  <w:r w:rsidRPr="0005639F">
                    <w:rPr>
                      <w:rFonts w:ascii="Times New Roman" w:eastAsia="Times New Roman" w:hAnsi="Times New Roman" w:cs="Times New Roman"/>
                      <w:i/>
                      <w:iCs/>
                      <w:sz w:val="20"/>
                      <w:szCs w:val="20"/>
                    </w:rPr>
                    <w:t>nido-</w:t>
                  </w:r>
                  <w:r w:rsidRPr="0005639F">
                    <w:rPr>
                      <w:rFonts w:ascii="Times New Roman" w:eastAsia="Times New Roman" w:hAnsi="Times New Roman" w:cs="Times New Roman"/>
                      <w:sz w:val="20"/>
                      <w:szCs w:val="20"/>
                    </w:rPr>
                    <w:t xml:space="preserve"> compound when stirred at room temperature with sodium azide in DMSO. Although dicarboranes are, susceptible to base degradation, it was previously thought to require a strong base in a refluxing methanol, our studies have shown that milder conditions can also degrade dicarboranes. A range of substituted 1,2-</w:t>
                  </w:r>
                  <w:r w:rsidRPr="0005639F">
                    <w:rPr>
                      <w:rFonts w:ascii="Times New Roman" w:eastAsia="Times New Roman" w:hAnsi="Times New Roman" w:cs="Times New Roman"/>
                      <w:sz w:val="20"/>
                      <w:szCs w:val="20"/>
                    </w:rPr>
                    <w:lastRenderedPageBreak/>
                    <w:t>dicarboranes were investigated with sodium azide in water and DMSO. The results of these reactions and an exploration of the activation of the degradation reaction via side chains and substituents will be presented. In addition successful cycloaddtion reactions will be highlighted using an organic azide and an acetylene functionalized dicarborane.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2286664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Joshua D. Thomas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 M. Elliott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Amy L. Prieto</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Colorado State University, Fort Collins, CO, United States. </w:t>
                  </w:r>
                  <w:r w:rsidRPr="0005639F">
                    <w:rPr>
                      <w:rFonts w:ascii="Times New Roman" w:eastAsia="Times New Roman" w:hAnsi="Times New Roman" w:cs="Times New Roman"/>
                      <w:sz w:val="20"/>
                      <w:szCs w:val="20"/>
                    </w:rPr>
                    <w:br/>
                    <w:t xml:space="preserve">2. Chemistry Department C210, Colorado State University, Fort Collins, CO,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5" w:anchor="2286664" w:history="1">
                    <w:r w:rsidRPr="0005639F">
                      <w:rPr>
                        <w:rFonts w:ascii="Times New Roman" w:eastAsia="Times New Roman" w:hAnsi="Times New Roman" w:cs="Times New Roman"/>
                        <w:color w:val="0000FF"/>
                        <w:sz w:val="20"/>
                        <w:szCs w:val="20"/>
                        <w:u w:val="single"/>
                      </w:rPr>
                      <w:t>High potential cobalt mediator complexes for dye sensitized solar cells using 5,5’ substituted bipyridines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Utilizing cobalt bipyridine complexes as redox mediators in dye sensitized solar cells (DSSCs) allow for synthetic tunability of the potential, and kinetic charge transfer pathways, that the historically utilized iodide/tri-iodide redox couple doesn’t. The unsubstituted cobalt trisbipyridine redox couple has a potential of 0.32 V vs. SCE compared to 0.15 V vs. SCE for the iodide/tri-iodide couple, already setting the attainable open circuit voltage approximately 170 mV more positive then iodide/tri-iodide and has been used in several recent literature examples. Substitutions with bulky alkyl groups have been made at the 4,4’ positions along the bipyridines previously. This is to reduce faster recombination kinetics at the photoanode surface. However, substitution of the alkyl groups in the 4,4’ positions cause the potential to shift negative of the unsubstituted complex. Our group has shown that substitutions on the 5,5’ positions of the bipyridine shift the potential more positive comparatively. Here, a series of these 5,5’ substituted trisbipyridine cobalt complexes have been assembled and characterized for use in fully assembled DSSCs. Preliminary results show that when ethyl ester moieties are substituted on the 5,5’ position, the resulting E</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is much more positive (0.76 V vs. SCE) then the unsubstituted complex which is used in previous high efficiency literature examples. However, the di-ethyl ester substituted complex does not appear to be stable when in the presence of the common DSSC additive </w:t>
                  </w:r>
                  <w:r w:rsidRPr="0005639F">
                    <w:rPr>
                      <w:rFonts w:ascii="Times New Roman" w:eastAsia="Times New Roman" w:hAnsi="Times New Roman" w:cs="Times New Roman"/>
                      <w:i/>
                      <w:iCs/>
                      <w:sz w:val="20"/>
                      <w:szCs w:val="20"/>
                    </w:rPr>
                    <w:t>tert-</w:t>
                  </w:r>
                  <w:r w:rsidRPr="0005639F">
                    <w:rPr>
                      <w:rFonts w:ascii="Times New Roman" w:eastAsia="Times New Roman" w:hAnsi="Times New Roman" w:cs="Times New Roman"/>
                      <w:sz w:val="20"/>
                      <w:szCs w:val="20"/>
                    </w:rPr>
                    <w:t xml:space="preserve">butylpyridine. It is hypothesized that the ligands in this complex can be replaced by </w:t>
                  </w:r>
                  <w:r w:rsidRPr="0005639F">
                    <w:rPr>
                      <w:rFonts w:ascii="Times New Roman" w:eastAsia="Times New Roman" w:hAnsi="Times New Roman" w:cs="Times New Roman"/>
                      <w:i/>
                      <w:iCs/>
                      <w:sz w:val="20"/>
                      <w:szCs w:val="20"/>
                    </w:rPr>
                    <w:t>tert</w:t>
                  </w:r>
                  <w:r w:rsidRPr="0005639F">
                    <w:rPr>
                      <w:rFonts w:ascii="Times New Roman" w:eastAsia="Times New Roman" w:hAnsi="Times New Roman" w:cs="Times New Roman"/>
                      <w:sz w:val="20"/>
                      <w:szCs w:val="20"/>
                    </w:rPr>
                    <w:t xml:space="preserve">-butylpyridine due to increased lability. In order to retain the desirable potential and limit lability of the ligand, a hemi-cage, hexadentate complex was assembled by joining the bipyridines with a trimesic acid linker. Characterization and stability testing has been performed to evaluate the performance of the assembled cobalt complex. Stability has been examined in variable pH, through electrochemical cycling, and with common DSSC additives such as </w:t>
                  </w:r>
                  <w:r w:rsidRPr="0005639F">
                    <w:rPr>
                      <w:rFonts w:ascii="Times New Roman" w:eastAsia="Times New Roman" w:hAnsi="Times New Roman" w:cs="Times New Roman"/>
                      <w:i/>
                      <w:iCs/>
                      <w:sz w:val="20"/>
                      <w:szCs w:val="20"/>
                    </w:rPr>
                    <w:t>tert-</w:t>
                  </w:r>
                  <w:r w:rsidRPr="0005639F">
                    <w:rPr>
                      <w:rFonts w:ascii="Times New Roman" w:eastAsia="Times New Roman" w:hAnsi="Times New Roman" w:cs="Times New Roman"/>
                      <w:sz w:val="20"/>
                      <w:szCs w:val="20"/>
                    </w:rPr>
                    <w:t>butylpyridine. Diffusion of the hemi-cage and unlinked complexes through mesoporous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is examined with impedance spectroscopy for evaluation of potential mass transport concerns that have been observed with the 4,4’ substituted bipyridine cobalt complexes. Finally, full DSSCs were assembled with and without </w:t>
                  </w:r>
                  <w:r w:rsidRPr="0005639F">
                    <w:rPr>
                      <w:rFonts w:ascii="Times New Roman" w:eastAsia="Times New Roman" w:hAnsi="Times New Roman" w:cs="Times New Roman"/>
                      <w:i/>
                      <w:iCs/>
                      <w:sz w:val="20"/>
                      <w:szCs w:val="20"/>
                    </w:rPr>
                    <w:t>tert-</w:t>
                  </w:r>
                  <w:r w:rsidRPr="0005639F">
                    <w:rPr>
                      <w:rFonts w:ascii="Times New Roman" w:eastAsia="Times New Roman" w:hAnsi="Times New Roman" w:cs="Times New Roman"/>
                      <w:sz w:val="20"/>
                      <w:szCs w:val="20"/>
                    </w:rPr>
                    <w:t>butylpyridine to evaluate open circuit voltage and other common metrics.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2288169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Natasha M. Khatri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Kayla R. Lincoln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Kyle D. Pires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Timothy M. Hughes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Katherine Plass</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Julie A. Borchers</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Samuel E. Lofland</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Kaveh Jorabchi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Carina Minardi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Marie-Paule Pileni</w:t>
                  </w:r>
                  <w:r w:rsidRPr="0005639F">
                    <w:rPr>
                      <w:rFonts w:ascii="Times New Roman" w:eastAsia="Times New Roman" w:hAnsi="Times New Roman" w:cs="Times New Roman"/>
                      <w:sz w:val="20"/>
                      <w:szCs w:val="20"/>
                      <w:vertAlign w:val="superscript"/>
                    </w:rPr>
                    <w:t>5</w:t>
                  </w:r>
                  <w:r w:rsidRPr="0005639F">
                    <w:rPr>
                      <w:rFonts w:ascii="Times New Roman" w:eastAsia="Times New Roman" w:hAnsi="Times New Roman" w:cs="Times New Roman"/>
                      <w:sz w:val="20"/>
                      <w:szCs w:val="20"/>
                    </w:rPr>
                    <w:t>, Sarah L. Stoll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Georgetown University, Washington, DC, United States. </w:t>
                  </w:r>
                  <w:r w:rsidRPr="0005639F">
                    <w:rPr>
                      <w:rFonts w:ascii="Times New Roman" w:eastAsia="Times New Roman" w:hAnsi="Times New Roman" w:cs="Times New Roman"/>
                      <w:sz w:val="20"/>
                      <w:szCs w:val="20"/>
                    </w:rPr>
                    <w:br/>
                    <w:t xml:space="preserve">2. Chemistry, Franklin Marshall College, Lancaster, PA, United States. </w:t>
                  </w:r>
                  <w:r w:rsidRPr="0005639F">
                    <w:rPr>
                      <w:rFonts w:ascii="Times New Roman" w:eastAsia="Times New Roman" w:hAnsi="Times New Roman" w:cs="Times New Roman"/>
                      <w:sz w:val="20"/>
                      <w:szCs w:val="20"/>
                    </w:rPr>
                    <w:br/>
                    <w:t xml:space="preserve">3. NCNR, National Institute of Standards and Technology, Gaithersburg, MD, United States. </w:t>
                  </w:r>
                  <w:r w:rsidRPr="0005639F">
                    <w:rPr>
                      <w:rFonts w:ascii="Times New Roman" w:eastAsia="Times New Roman" w:hAnsi="Times New Roman" w:cs="Times New Roman"/>
                      <w:sz w:val="20"/>
                      <w:szCs w:val="20"/>
                    </w:rPr>
                    <w:br/>
                    <w:t xml:space="preserve">4. Chemistry and Physics, Rowan University, Glassboro, NJ, United States. </w:t>
                  </w:r>
                  <w:r w:rsidRPr="0005639F">
                    <w:rPr>
                      <w:rFonts w:ascii="Times New Roman" w:eastAsia="Times New Roman" w:hAnsi="Times New Roman" w:cs="Times New Roman"/>
                      <w:sz w:val="20"/>
                      <w:szCs w:val="20"/>
                    </w:rPr>
                    <w:br/>
                    <w:t xml:space="preserve">5. Lab MONARIS, Univ P M Curie BP52, Paris, France.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6" w:anchor="2288169" w:history="1">
                    <w:r w:rsidRPr="0005639F">
                      <w:rPr>
                        <w:rFonts w:ascii="Times New Roman" w:eastAsia="Times New Roman" w:hAnsi="Times New Roman" w:cs="Times New Roman"/>
                        <w:color w:val="0000FF"/>
                        <w:sz w:val="20"/>
                        <w:szCs w:val="20"/>
                        <w:u w:val="single"/>
                      </w:rPr>
                      <w:t>Single Molecule Magnet Mn</w:t>
                    </w:r>
                    <w:r w:rsidRPr="0005639F">
                      <w:rPr>
                        <w:rFonts w:ascii="Times New Roman" w:eastAsia="Times New Roman" w:hAnsi="Times New Roman" w:cs="Times New Roman"/>
                        <w:color w:val="0000FF"/>
                        <w:sz w:val="20"/>
                        <w:szCs w:val="20"/>
                        <w:u w:val="single"/>
                        <w:vertAlign w:val="subscript"/>
                      </w:rPr>
                      <w:t>12</w:t>
                    </w:r>
                    <w:r w:rsidRPr="0005639F">
                      <w:rPr>
                        <w:rFonts w:ascii="Times New Roman" w:eastAsia="Times New Roman" w:hAnsi="Times New Roman" w:cs="Times New Roman"/>
                        <w:color w:val="0000FF"/>
                        <w:sz w:val="20"/>
                        <w:szCs w:val="20"/>
                        <w:u w:val="single"/>
                      </w:rPr>
                      <w:t>O</w:t>
                    </w:r>
                    <w:r w:rsidRPr="0005639F">
                      <w:rPr>
                        <w:rFonts w:ascii="Times New Roman" w:eastAsia="Times New Roman" w:hAnsi="Times New Roman" w:cs="Times New Roman"/>
                        <w:color w:val="0000FF"/>
                        <w:sz w:val="20"/>
                        <w:szCs w:val="20"/>
                        <w:u w:val="single"/>
                        <w:vertAlign w:val="subscript"/>
                      </w:rPr>
                      <w:t>12</w:t>
                    </w:r>
                    <w:r w:rsidRPr="0005639F">
                      <w:rPr>
                        <w:rFonts w:ascii="Times New Roman" w:eastAsia="Times New Roman" w:hAnsi="Times New Roman" w:cs="Times New Roman"/>
                        <w:color w:val="0000FF"/>
                        <w:sz w:val="20"/>
                        <w:szCs w:val="20"/>
                        <w:u w:val="single"/>
                      </w:rPr>
                      <w:t>(C</w:t>
                    </w:r>
                    <w:r w:rsidRPr="0005639F">
                      <w:rPr>
                        <w:rFonts w:ascii="Times New Roman" w:eastAsia="Times New Roman" w:hAnsi="Times New Roman" w:cs="Times New Roman"/>
                        <w:color w:val="0000FF"/>
                        <w:sz w:val="20"/>
                        <w:szCs w:val="20"/>
                        <w:u w:val="single"/>
                        <w:vertAlign w:val="subscript"/>
                      </w:rPr>
                      <w:t>x</w:t>
                    </w:r>
                    <w:r w:rsidRPr="0005639F">
                      <w:rPr>
                        <w:rFonts w:ascii="Times New Roman" w:eastAsia="Times New Roman" w:hAnsi="Times New Roman" w:cs="Times New Roman"/>
                        <w:color w:val="0000FF"/>
                        <w:sz w:val="20"/>
                        <w:szCs w:val="20"/>
                        <w:u w:val="single"/>
                      </w:rPr>
                      <w:t>H</w:t>
                    </w:r>
                    <w:r w:rsidRPr="0005639F">
                      <w:rPr>
                        <w:rFonts w:ascii="Times New Roman" w:eastAsia="Times New Roman" w:hAnsi="Times New Roman" w:cs="Times New Roman"/>
                        <w:color w:val="0000FF"/>
                        <w:sz w:val="20"/>
                        <w:szCs w:val="20"/>
                        <w:u w:val="single"/>
                        <w:vertAlign w:val="subscript"/>
                      </w:rPr>
                      <w:t>2x-1</w:t>
                    </w:r>
                    <w:r w:rsidRPr="0005639F">
                      <w:rPr>
                        <w:rFonts w:ascii="Times New Roman" w:eastAsia="Times New Roman" w:hAnsi="Times New Roman" w:cs="Times New Roman"/>
                        <w:color w:val="0000FF"/>
                        <w:sz w:val="20"/>
                        <w:szCs w:val="20"/>
                        <w:u w:val="single"/>
                      </w:rPr>
                      <w:t>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w:t>
                    </w:r>
                    <w:r w:rsidRPr="0005639F">
                      <w:rPr>
                        <w:rFonts w:ascii="Times New Roman" w:eastAsia="Times New Roman" w:hAnsi="Times New Roman" w:cs="Times New Roman"/>
                        <w:color w:val="0000FF"/>
                        <w:sz w:val="20"/>
                        <w:szCs w:val="20"/>
                        <w:u w:val="single"/>
                        <w:vertAlign w:val="subscript"/>
                      </w:rPr>
                      <w:t>16</w:t>
                    </w:r>
                    <w:r w:rsidRPr="0005639F">
                      <w:rPr>
                        <w:rFonts w:ascii="Times New Roman" w:eastAsia="Times New Roman" w:hAnsi="Times New Roman" w:cs="Times New Roman"/>
                        <w:color w:val="0000FF"/>
                        <w:sz w:val="20"/>
                        <w:szCs w:val="20"/>
                        <w:u w:val="single"/>
                      </w:rPr>
                      <w:t>●4H</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O: Characterization and Surface Organization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Single molecule magnets (SMMs) have long been of great interest because of the potential ability to store information on the nanometer and sub-nanometer length scale. Organization of surface attached clusters, as well as magnetic characterization, has been performed with the hope of potentially utilizing these molecules in nanodevices. Perhaps the prototype and most well-known example is the molecule studied here, Mn</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CCH</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16</w:t>
                  </w:r>
                  <w:r w:rsidRPr="0005639F">
                    <w:rPr>
                      <w:rFonts w:ascii="Times New Roman" w:eastAsia="Times New Roman" w:hAnsi="Times New Roman" w:cs="Times New Roman"/>
                      <w:sz w:val="20"/>
                      <w:szCs w:val="20"/>
                    </w:rPr>
                    <w:t>, or simply Mn</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The goal is to design ligands to confer self-organization to Mn</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SMMs, and study the effects of carboxylic acids of varying lengths on the 2D and 3D self-assembly. Mn</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readily undergoes ligand exchange, which is utilized to exchange the acetate groups with carboxylic acids. We first studied the long-chained decanoic acid ligand as the prototype to develop fully substituted cluster and then branch out to different chain lengths. The challenges were to maintain an intact core, as determined through FTIR stretching frequencies, and to ensure full substitution, which was measured through ESI-MS. The crystal packing structure was visible through PXRD patterns. To investigate 2D ordering, STM was employed by depositing cluster onto HOPG.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2290592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Douglas R. Gisewhite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Benjamin Williams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Sharon J. Nieter Burgmayer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Bryn Mawr College, Bryn Mawr,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7" w:anchor="2290592" w:history="1">
                    <w:r w:rsidRPr="0005639F">
                      <w:rPr>
                        <w:rFonts w:ascii="Times New Roman" w:eastAsia="Times New Roman" w:hAnsi="Times New Roman" w:cs="Times New Roman"/>
                        <w:color w:val="0000FF"/>
                        <w:sz w:val="20"/>
                        <w:szCs w:val="20"/>
                        <w:u w:val="single"/>
                      </w:rPr>
                      <w:t>Molybdenum Pyranopterin Dithiolene Complexes: Synthetic Models for Pyran Cyclization in the Molybdenum Cofactor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molybdenum cofactor, Moco, is found in all living organisms, excluding </w:t>
                  </w:r>
                  <w:r w:rsidRPr="0005639F">
                    <w:rPr>
                      <w:rFonts w:ascii="Times New Roman" w:eastAsia="Times New Roman" w:hAnsi="Times New Roman" w:cs="Times New Roman"/>
                      <w:i/>
                      <w:iCs/>
                      <w:sz w:val="20"/>
                      <w:szCs w:val="20"/>
                    </w:rPr>
                    <w:t>Saccharomyces cerevisiae,</w:t>
                  </w:r>
                  <w:r w:rsidRPr="0005639F">
                    <w:rPr>
                      <w:rFonts w:ascii="Times New Roman" w:eastAsia="Times New Roman" w:hAnsi="Times New Roman" w:cs="Times New Roman"/>
                      <w:sz w:val="20"/>
                      <w:szCs w:val="20"/>
                    </w:rPr>
                    <w:t xml:space="preserve"> and participates in global nitrogen, carbon, and sulfur cycles. There is a conserved pterin dithiolene ligand which coordinates molybdenum (Mo) in the cofactor of mononuclear enzymes. Crystal structures of several bacterial molybdoenzymes suggest the pterin dithiolene ligand can exist in both a tricyclic and a bicyclic state. Interconversion of the two states has been thought to play a role in the catalytic mechanism of Moco. Therefore, understanding the pyran cyclization and scission, a type of ring-chain tautomerism, is an important aspect of study to understand its role in catalysis. Here, we report the synthesis and characterization of three Moco model complexes with the formula [TEA][Tp*Mo(X)pterin-CR</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R’-dithiolene] where TEA is tetraethylammonium, Tp* is tris(3,5-dimethylpyrazolyl)hydroborate, Mo is in either the Mo(IV) or Mo(V) oxidation state, X is either sulfur or oxygen, R is either methyl or ethyl, and R’ is either methyl or hydroxyl.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H and </w:t>
                  </w:r>
                  <w:r w:rsidRPr="0005639F">
                    <w:rPr>
                      <w:rFonts w:ascii="Times New Roman" w:eastAsia="Times New Roman" w:hAnsi="Times New Roman" w:cs="Times New Roman"/>
                      <w:sz w:val="20"/>
                      <w:szCs w:val="20"/>
                      <w:vertAlign w:val="superscript"/>
                    </w:rPr>
                    <w:t>13</w:t>
                  </w:r>
                  <w:r w:rsidRPr="0005639F">
                    <w:rPr>
                      <w:rFonts w:ascii="Times New Roman" w:eastAsia="Times New Roman" w:hAnsi="Times New Roman" w:cs="Times New Roman"/>
                      <w:sz w:val="20"/>
                      <w:szCs w:val="20"/>
                    </w:rPr>
                    <w:t xml:space="preserve">C NMR experiments indicate the </w:t>
                  </w:r>
                  <w:r w:rsidRPr="0005639F">
                    <w:rPr>
                      <w:rFonts w:ascii="Times New Roman" w:eastAsia="Times New Roman" w:hAnsi="Times New Roman" w:cs="Times New Roman"/>
                      <w:sz w:val="20"/>
                      <w:szCs w:val="20"/>
                    </w:rPr>
                    <w:lastRenderedPageBreak/>
                    <w:t>hydroxyl group undergoes reversible intramolecular cyclization producing a pyran ring, which is dependent on solvent dielectric constant. Cyclization of the pyran ring is favored as solvent polarity increases. However, isosteric replacement of the hydroxyl with a methyl prevents cyclization.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2290624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Gregory Konesky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National NanoTech, Inc., Hampton Bays,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8" w:anchor="2290624" w:history="1">
                    <w:r w:rsidRPr="0005639F">
                      <w:rPr>
                        <w:rFonts w:ascii="Times New Roman" w:eastAsia="Times New Roman" w:hAnsi="Times New Roman" w:cs="Times New Roman"/>
                        <w:color w:val="0000FF"/>
                        <w:sz w:val="20"/>
                        <w:szCs w:val="20"/>
                        <w:u w:val="single"/>
                      </w:rPr>
                      <w:t>Cyclical Electrophoretic Deposition of CNT Thick Films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Thick films of Carbon Nanotubes (CNTs) have been used, for example, in energy storage applications such as rechargeable batteries and supercapacitors. Such films, typically 100 to 350 µm thick, have previously been produced using filtration of a CNT dispersion. However, there are often uniformity issues, and surface artifacts that result from the filtration membrane pores. Electrophoretic deposition produces very uniform films, free of surface artifacts, but often reaches a thickness limit of approximately 10 to a few 10’s of microns, due to the buildup of electrolytic hydrogen gas in the bulk of the film. We demonstrate a cyclical process where a film of a given maximum thickness is electrophoretically deposited; the film is then withdrawn from the CNT dispersion and allowed to dry. The drying process allows the hydrogen gas to escape. The dried film is then reinserted into the CNT dispersion and an additional electrophoretic deposition is performed, adding to the overall thickness. This deposition-drying-deposition cyclical process is repeated until the desired cumulative thickness is achieved. A thick CNT film of arbitrary thickness can be produced in this way. We describe the basic process and problems of electrophoretic CNT deposition, both aqueous and non-aqueous, and discuss an automated apparatus to perform this cyclical process and methods of producing a stable CNT dispersion. </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3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2292185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Haydee A. Dalafu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Howie Nguyen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Kayla R. Lincoln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Sarah L. Stoll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Georgetown University, Washington, DC,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69" w:anchor="2292185" w:history="1">
                    <w:r w:rsidRPr="0005639F">
                      <w:rPr>
                        <w:rFonts w:ascii="Times New Roman" w:eastAsia="Times New Roman" w:hAnsi="Times New Roman" w:cs="Times New Roman"/>
                        <w:color w:val="0000FF"/>
                        <w:sz w:val="20"/>
                        <w:szCs w:val="20"/>
                        <w:u w:val="single"/>
                      </w:rPr>
                      <w:t>Nanoparticle synthesis of chromium chalcogenide magnetic semiconductors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Magnetic semiconductor materials, like chromium-based chalcogenide spinels, display a unique </w:t>
                  </w:r>
                  <w:r w:rsidRPr="0005639F">
                    <w:rPr>
                      <w:rFonts w:ascii="Times New Roman" w:eastAsia="Times New Roman" w:hAnsi="Times New Roman" w:cs="Times New Roman"/>
                      <w:sz w:val="20"/>
                      <w:szCs w:val="20"/>
                    </w:rPr>
                    <w:lastRenderedPageBreak/>
                    <w:t>coupling of their magnetic and electronic properties. This interrelation of the magnetic and electronic properties gives rise to colossal magnetoresistance, colossal magnetocapacitance, and magnetocaloric effects, among others. To study the size and shape effect of the compound to its properties in the nanoscale, we are developing synthetic methods that are reproducible, applicable to a wide range of compounds, and amenable to size and shape control. We synthesize our nanoparticles via thermolysis of molecular precursors such as metal dithiocarbamates M(S</w:t>
                  </w:r>
                  <w:r w:rsidRPr="0005639F">
                    <w:rPr>
                      <w:rFonts w:ascii="Times New Roman" w:eastAsia="Times New Roman" w:hAnsi="Times New Roman" w:cs="Times New Roman"/>
                      <w:sz w:val="20"/>
                      <w:szCs w:val="20"/>
                    </w:rPr>
                    <w:softHyphen/>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CNR</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metal dithiophosphinates M(S</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PPh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and metal diselenophosphinates M(Se</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PPh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By varying the solution synthesis conditions and the precursors we have made nanoparticles with varying size morphology of Cr</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S</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a ferrimagnetic semiconductor (E</w:t>
                  </w:r>
                  <w:r w:rsidRPr="0005639F">
                    <w:rPr>
                      <w:rFonts w:ascii="Times New Roman" w:eastAsia="Times New Roman" w:hAnsi="Times New Roman" w:cs="Times New Roman"/>
                      <w:sz w:val="20"/>
                      <w:szCs w:val="20"/>
                      <w:vertAlign w:val="subscript"/>
                    </w:rPr>
                    <w:t>g</w:t>
                  </w:r>
                  <w:r w:rsidRPr="0005639F">
                    <w:rPr>
                      <w:rFonts w:ascii="Times New Roman" w:eastAsia="Times New Roman" w:hAnsi="Times New Roman" w:cs="Times New Roman"/>
                      <w:sz w:val="20"/>
                      <w:szCs w:val="20"/>
                    </w:rPr>
                    <w:t xml:space="preserve"> = 1.1eV) and CuCrS</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an antiferrromagnetic semiconductor (E</w:t>
                  </w:r>
                  <w:r w:rsidRPr="0005639F">
                    <w:rPr>
                      <w:rFonts w:ascii="Times New Roman" w:eastAsia="Times New Roman" w:hAnsi="Times New Roman" w:cs="Times New Roman"/>
                      <w:sz w:val="20"/>
                      <w:szCs w:val="20"/>
                      <w:vertAlign w:val="subscript"/>
                    </w:rPr>
                    <w:t>g</w:t>
                  </w:r>
                  <w:r w:rsidRPr="0005639F">
                    <w:rPr>
                      <w:rFonts w:ascii="Times New Roman" w:eastAsia="Times New Roman" w:hAnsi="Times New Roman" w:cs="Times New Roman"/>
                      <w:sz w:val="20"/>
                      <w:szCs w:val="20"/>
                    </w:rPr>
                    <w:t xml:space="preserve"> = 2.48 eV).</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2292722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William J. Hickling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Vidumin Dahanayake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Sarah L. Stoll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Georgetown University, Washington, DC, United States. </w:t>
                  </w:r>
                  <w:r w:rsidRPr="0005639F">
                    <w:rPr>
                      <w:rFonts w:ascii="Times New Roman" w:eastAsia="Times New Roman" w:hAnsi="Times New Roman" w:cs="Times New Roman"/>
                      <w:sz w:val="20"/>
                      <w:szCs w:val="20"/>
                    </w:rPr>
                    <w:br/>
                    <w:t xml:space="preserve">2. Georgetown University, Washington, DC,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0" w:anchor="2292722" w:history="1">
                    <w:r w:rsidRPr="0005639F">
                      <w:rPr>
                        <w:rFonts w:ascii="Times New Roman" w:eastAsia="Times New Roman" w:hAnsi="Times New Roman" w:cs="Times New Roman"/>
                        <w:color w:val="0000FF"/>
                        <w:sz w:val="20"/>
                        <w:szCs w:val="20"/>
                        <w:u w:val="single"/>
                      </w:rPr>
                      <w:t>Magnetic mesoporous silica nanoparticles as potential MRI contrast agents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Magnetic Resonance Imaging (MRI) is a powerful diagnostic technique used throughout the medical and research communities in order to image various biological samples. The primary contrast agents (CAs) used today are gadolinium chelates or super paramagnetic iron oxide nanoparticles (SPIONs). While these two options have garnered the most attention, the interest in alternative CAs as well as understanding the mechanism behind such contrast has grown steadily. We present our research on utilizing metal-oxo clusters, specifically Mn</w:t>
                  </w:r>
                  <w:r w:rsidRPr="0005639F">
                    <w:rPr>
                      <w:rFonts w:ascii="Times New Roman" w:eastAsia="Times New Roman" w:hAnsi="Times New Roman" w:cs="Times New Roman"/>
                      <w:sz w:val="20"/>
                      <w:szCs w:val="20"/>
                      <w:vertAlign w:val="subscript"/>
                    </w:rPr>
                    <w:t>8</w:t>
                  </w:r>
                  <w:r w:rsidRPr="0005639F">
                    <w:rPr>
                      <w:rFonts w:ascii="Times New Roman" w:eastAsia="Times New Roman" w:hAnsi="Times New Roman" w:cs="Times New Roman"/>
                      <w:sz w:val="20"/>
                      <w:szCs w:val="20"/>
                    </w:rPr>
                    <w:t>Fe</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CCH</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16</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and mesoporous silica nanoparticles (MSNs) as a new potential CA. The silica nanoparticles are used to anchor the cluster in the pores in order to prevent metal leaching. This is accomplished through various modifications of the silica surface ultimately leading to a carboxylate moiety. The Mn</w:t>
                  </w:r>
                  <w:r w:rsidRPr="0005639F">
                    <w:rPr>
                      <w:rFonts w:ascii="Times New Roman" w:eastAsia="Times New Roman" w:hAnsi="Times New Roman" w:cs="Times New Roman"/>
                      <w:sz w:val="20"/>
                      <w:szCs w:val="20"/>
                      <w:vertAlign w:val="subscript"/>
                    </w:rPr>
                    <w:t>8</w:t>
                  </w:r>
                  <w:r w:rsidRPr="0005639F">
                    <w:rPr>
                      <w:rFonts w:ascii="Times New Roman" w:eastAsia="Times New Roman" w:hAnsi="Times New Roman" w:cs="Times New Roman"/>
                      <w:sz w:val="20"/>
                      <w:szCs w:val="20"/>
                    </w:rPr>
                    <w:t>Fe</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cluster is then ligand exchanged such that some of the acetate ligands are replaced with the carboxylates attached to the MSNs thus grafting the cluster to the silica. To date we’ve used two types of MSNs, well known MCM-41 and a radially porous or “worm like” MSN. The increased surface area and number of pores present in the latter should theoretically increase the amount of cluster grafted into each pore. It is our hope that this will lead to the development of better CAs as well as an increased understanding into the governing relaxation mechanism.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2226113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Sarah N. Spisak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Cristina Dubceac</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Natalie J. O'Neil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Zheng Zhou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Alexander S. Filatov</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Alexander V. Zabula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Marina A. Petrukhina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Chemistry, University at Albany, SUNY, Albany,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1" w:anchor="2226113" w:history="1">
                    <w:r w:rsidRPr="0005639F">
                      <w:rPr>
                        <w:rFonts w:ascii="Times New Roman" w:eastAsia="Times New Roman" w:hAnsi="Times New Roman" w:cs="Times New Roman"/>
                        <w:color w:val="0000FF"/>
                        <w:sz w:val="20"/>
                        <w:szCs w:val="20"/>
                        <w:u w:val="single"/>
                      </w:rPr>
                      <w:t>Charging fragments of fullerenes and nanotubes with multiple electrons: X-ray structural highlights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Open geodesic polyarenes that map onto the surface of fullerenes and represent the caps of nanotubes gain special attention due to their unique balance of strain and aromaticity. They also exhibit excellent electron accepting abilities in stepwise reduction reactions. For example, the smallest bowl-shaped polyarene corannulene (C</w:t>
                  </w:r>
                  <w:r w:rsidRPr="0005639F">
                    <w:rPr>
                      <w:rFonts w:ascii="Times New Roman" w:eastAsia="Times New Roman" w:hAnsi="Times New Roman" w:cs="Times New Roman"/>
                      <w:sz w:val="20"/>
                      <w:szCs w:val="20"/>
                      <w:vertAlign w:val="subscript"/>
                    </w:rPr>
                    <w:t>20</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10</w:t>
                  </w:r>
                  <w:r w:rsidRPr="0005639F">
                    <w:rPr>
                      <w:rFonts w:ascii="Times New Roman" w:eastAsia="Times New Roman" w:hAnsi="Times New Roman" w:cs="Times New Roman"/>
                      <w:sz w:val="20"/>
                      <w:szCs w:val="20"/>
                    </w:rPr>
                    <w:t xml:space="preserve">) is known to accept up to 4 electrons upon reduction with alkali metals. We have been able to isolate crystalline products of various reduced states of corannulene and accomplished their first X-ray crystallographic characterization. This allowed us to provide the first structural details of corannulene anions and to evaluate the effects of adding multiple electrons to its curved core. Moreover, the resulting carbanions were shown to serve as unique </w:t>
                  </w:r>
                  <w:r w:rsidRPr="0005639F">
                    <w:rPr>
                      <w:rFonts w:ascii="Times New Roman" w:eastAsia="Times New Roman" w:hAnsi="Times New Roman" w:cs="Times New Roman"/>
                      <w:i/>
                      <w:iCs/>
                      <w:sz w:val="20"/>
                      <w:szCs w:val="20"/>
                    </w:rPr>
                    <w:t>π</w:t>
                  </w:r>
                  <w:r w:rsidRPr="0005639F">
                    <w:rPr>
                      <w:rFonts w:ascii="Times New Roman" w:eastAsia="Times New Roman" w:hAnsi="Times New Roman" w:cs="Times New Roman"/>
                      <w:sz w:val="20"/>
                      <w:szCs w:val="20"/>
                    </w:rPr>
                    <w:t xml:space="preserve">-ligands able to provide convex and concave faces as well as multiple binding sites for metal coordination. From corannulene, we have moved to larger curved polyarenes having extended </w:t>
                  </w:r>
                  <w:r w:rsidRPr="0005639F">
                    <w:rPr>
                      <w:rFonts w:ascii="Times New Roman" w:eastAsia="Times New Roman" w:hAnsi="Times New Roman" w:cs="Times New Roman"/>
                      <w:i/>
                      <w:iCs/>
                      <w:sz w:val="20"/>
                      <w:szCs w:val="20"/>
                    </w:rPr>
                    <w:t>π</w:t>
                  </w:r>
                  <w:r w:rsidRPr="0005639F">
                    <w:rPr>
                      <w:rFonts w:ascii="Times New Roman" w:eastAsia="Times New Roman" w:hAnsi="Times New Roman" w:cs="Times New Roman"/>
                      <w:sz w:val="20"/>
                      <w:szCs w:val="20"/>
                    </w:rPr>
                    <w:t>-surfaces and comprised of several bowl-shaped moieties fused by different linkers. We have investigated the addition of multiple electrons to a fragment of armchair carbon nanotube and followed its severe structural deformation by X-ray crystallography. We have used controlled derivatization of the bowl core both at the periphery and interior surface to further tune the properties of bowl-shaped polyarenes. The recent highlights of our X-ray crystallographic investigations of a broad class of charged curved carbon-rich aromatic systems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2277784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Rita N. Egekenze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Howard University, Washington, DC,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2" w:anchor="2277784" w:history="1">
                    <w:r w:rsidRPr="0005639F">
                      <w:rPr>
                        <w:rFonts w:ascii="Times New Roman" w:eastAsia="Times New Roman" w:hAnsi="Times New Roman" w:cs="Times New Roman"/>
                        <w:color w:val="0000FF"/>
                        <w:sz w:val="20"/>
                        <w:szCs w:val="20"/>
                        <w:u w:val="single"/>
                      </w:rPr>
                      <w:t>Manganese catalysts: Synthesis, structure, characterization and their application in homogeneous catalysis.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br/>
                    <w:t>Five tridentate Schiff-base ligands and their corresponding reduced Schiff base ligands were prepared from the reaction between 2-aminoethyl-2-pyridine with 5-methoxy-, 5-bromo-, 5–Chloro-, 5-Nitrro, and nonsubstituted-salicylaldehyde. After Characterization by FTIR, 1HNMR and UV-Visible spectroscopy, the Ligands were used in making Mn catalysts. The catalysts were characterized by FT-IR, UV-Visible spectroscopy, LC-MS, cyclic voltammetry and thermal gravimetry. X-ray crystallographic structures showed six-coordinate ML2 (L = tridentate Schiff base or reduced Schiff base) complexes. In their cyclic voltammetry in acetonitrile solution, the Mn(III) complexes of the Schiff bases each showed one reversible redox process while the reduced Schiff bases each showed two reversible redox process in the -1.5 to +1.5 V (vs Ag/AgCl) window (Mn(III) Û Mn(II)). LCMS analysis shows the molecular mass of the dimerization products of the reduced Schiff-base complexes. Evaluation of the catalytic activity of the Mn catalysts for the epoxidation of olefins using Triethyl amine/ perchloric acid [triethylammonium (base)] buffer and acetic acid/Ammonium acetate (acidic) buffer at OOC and room temperature showed that the reduced Schiff-base complexes gave higher epoxide yield than the Schiff-base complexes. Higher yield of epoxides were recorded at OOC than at room temperature for all the complexes. UV-visible absorption studies of the reactions of the complexes with aqueous H2O2 at room temperature and in dichloromethane showed appearance of new peaks at 255 and [323-332] indicating the formation of Mn-peroxo and Mn-oxo complexes that are the oxygen atom transfer intermediates leading to catalysis of the olefin. We report the crystal structures, LC-MS result, cyclic voltammogram, Uv-visible absorption spectra, 1HNMR and GC-MS results for the catalysis experiment.</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lastRenderedPageBreak/>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2286370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Jeffrey C. Monroe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Mark M. Turnbull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Christopher P. Landee</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Clark University, Plympton, MA, United States. </w:t>
                  </w:r>
                  <w:r w:rsidRPr="0005639F">
                    <w:rPr>
                      <w:rFonts w:ascii="Times New Roman" w:eastAsia="Times New Roman" w:hAnsi="Times New Roman" w:cs="Times New Roman"/>
                      <w:sz w:val="20"/>
                      <w:szCs w:val="20"/>
                    </w:rPr>
                    <w:br/>
                    <w:t xml:space="preserve">2. Physics, Clark University, Worcester,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3" w:anchor="2286370" w:history="1">
                    <w:r w:rsidRPr="0005639F">
                      <w:rPr>
                        <w:rFonts w:ascii="Times New Roman" w:eastAsia="Times New Roman" w:hAnsi="Times New Roman" w:cs="Times New Roman"/>
                        <w:color w:val="0000FF"/>
                        <w:sz w:val="20"/>
                        <w:szCs w:val="20"/>
                        <w:u w:val="single"/>
                      </w:rPr>
                      <w:t>Investigation of a well isolated 2-dimensional quantum Heisenberg antiferromagnetic model; EPR and SQUID studies of (quinolinium)</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Cu</w:t>
                    </w:r>
                    <w:r w:rsidRPr="0005639F">
                      <w:rPr>
                        <w:rFonts w:ascii="Times New Roman" w:eastAsia="Times New Roman" w:hAnsi="Times New Roman" w:cs="Times New Roman"/>
                        <w:color w:val="0000FF"/>
                        <w:sz w:val="20"/>
                        <w:szCs w:val="20"/>
                        <w:u w:val="single"/>
                        <w:vertAlign w:val="subscript"/>
                      </w:rPr>
                      <w:t>1-x</w:t>
                    </w:r>
                    <w:r w:rsidRPr="0005639F">
                      <w:rPr>
                        <w:rFonts w:ascii="Times New Roman" w:eastAsia="Times New Roman" w:hAnsi="Times New Roman" w:cs="Times New Roman"/>
                        <w:color w:val="0000FF"/>
                        <w:sz w:val="20"/>
                        <w:szCs w:val="20"/>
                        <w:u w:val="single"/>
                      </w:rPr>
                      <w:t>Zn</w:t>
                    </w:r>
                    <w:r w:rsidRPr="0005639F">
                      <w:rPr>
                        <w:rFonts w:ascii="Times New Roman" w:eastAsia="Times New Roman" w:hAnsi="Times New Roman" w:cs="Times New Roman"/>
                        <w:color w:val="0000FF"/>
                        <w:sz w:val="20"/>
                        <w:szCs w:val="20"/>
                        <w:u w:val="single"/>
                        <w:vertAlign w:val="subscript"/>
                      </w:rPr>
                      <w:t>x</w:t>
                    </w:r>
                    <w:r w:rsidRPr="0005639F">
                      <w:rPr>
                        <w:rFonts w:ascii="Times New Roman" w:eastAsia="Times New Roman" w:hAnsi="Times New Roman" w:cs="Times New Roman"/>
                        <w:color w:val="0000FF"/>
                        <w:sz w:val="20"/>
                        <w:szCs w:val="20"/>
                        <w:u w:val="single"/>
                      </w:rPr>
                      <w:t>X</w:t>
                    </w:r>
                    <w:r w:rsidRPr="0005639F">
                      <w:rPr>
                        <w:rFonts w:ascii="Times New Roman" w:eastAsia="Times New Roman" w:hAnsi="Times New Roman" w:cs="Times New Roman"/>
                        <w:color w:val="0000FF"/>
                        <w:sz w:val="20"/>
                        <w:szCs w:val="20"/>
                        <w:u w:val="single"/>
                        <w:vertAlign w:val="subscript"/>
                      </w:rPr>
                      <w:t xml:space="preserve">4 </w:t>
                    </w:r>
                    <w:r w:rsidRPr="0005639F">
                      <w:rPr>
                        <w:rFonts w:ascii="Times New Roman" w:eastAsia="Times New Roman" w:hAnsi="Times New Roman" w:cs="Times New Roman"/>
                        <w:color w:val="0000FF"/>
                        <w:sz w:val="20"/>
                        <w:szCs w:val="20"/>
                        <w:u w:val="single"/>
                      </w:rPr>
                      <w:t>2H</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O.</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Our group’s interest in two-dimensional square-lattice antiferromagnetism is due to the discovery of copper oxide high temperature superconductors such as La2-xSrxCuO4 that display strong low-dimensional antiferromagnetic interactions in the insulating phase. The parent compound, La2CuO4 (where x=0) is an insulator and only becomes superconducting upon doping with charge carriers. We have synthesized and characterized, both crystallographically and magnetically, an isomorphous series of the form (quinolinium)2MX4∙2H2O (where M is Cu, Zn, Co or Mn, and X is Cl- or Br-), which has the potential to be a good model of the 2D-QHAF, with very weak interlayer interactions. Quantum studies of (quinolinium)2CuX4∙2H2O (1) are easiest, yet most revealing of the system because the d9 copper(II) displays nearly quenched orbital angular momentum for its one unpaired electron (giso≈2.15). The 2J/kb value for 1 is -6.17K (using the -2J format of the Hamiltonian in which antiferromagnetic interactions are denoted as negative values of the exchange strength, J). This has allowed field and temperature dependent studies of the intralayer exchange interactions (Msat≈17K). SQUID studies and EPR measurements allow us to study the doped system (quinolinium)2Cu1-xZnxX4∙2H2O in order to investigate the electronic environment of an interacting moment in a perturbed system. The Zn(II) ions serve to isolate the copper moments at one extreme (x≈1). At the other extreme, where x«1, some nearest neighbor interactions between tetrahalocuprate tetrahedra are broken. Doping in the two extremes changes the exchange interactions, and we can observe the quantum effects.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2289726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James A. Golen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David R. Manke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&amp; Biochemistry, University of Massachusetts Dartmouth, Fairhaven,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4" w:anchor="2289726" w:history="1">
                    <w:r w:rsidRPr="0005639F">
                      <w:rPr>
                        <w:rFonts w:ascii="Times New Roman" w:eastAsia="Times New Roman" w:hAnsi="Times New Roman" w:cs="Times New Roman"/>
                        <w:color w:val="0000FF"/>
                        <w:sz w:val="20"/>
                        <w:szCs w:val="20"/>
                        <w:u w:val="single"/>
                      </w:rPr>
                      <w:t>Structural characterization of carbazol-based coordination polymers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 series of coordination polymers have been prepared using linkers built around a carbazole structural motif. This linker design allows for the inclusion of Lewis base sites on the inner lining of these porous materials. Synthesis, structure and gas adsorption properties will be discussed, with an emphasis on solid state structural characterization of these frameworks.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2291964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Rebecca Smith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wayne cheng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inga Haedicke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Xiao-an Zhang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Kara Bren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University of Rochester, Rochester, NY, United States. </w:t>
                  </w:r>
                  <w:r w:rsidRPr="0005639F">
                    <w:rPr>
                      <w:rFonts w:ascii="Times New Roman" w:eastAsia="Times New Roman" w:hAnsi="Times New Roman" w:cs="Times New Roman"/>
                      <w:sz w:val="20"/>
                      <w:szCs w:val="20"/>
                    </w:rPr>
                    <w:br/>
                    <w:t xml:space="preserve">2. University of Toronto, Toronto, ON, Canada.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5" w:anchor="2291964" w:history="1">
                    <w:r w:rsidRPr="0005639F">
                      <w:rPr>
                        <w:rFonts w:ascii="Times New Roman" w:eastAsia="Times New Roman" w:hAnsi="Times New Roman" w:cs="Times New Roman"/>
                        <w:b/>
                        <w:bCs/>
                        <w:color w:val="0000FF"/>
                        <w:sz w:val="20"/>
                        <w:szCs w:val="20"/>
                        <w:u w:val="single"/>
                      </w:rPr>
                      <w:t xml:space="preserve">Mn-porphyrins as MRI Contrast Agents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Paramagnetic compounds used for magnetic resonance imaging (MRI) to date have primarily been small gadolinium (Gd</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chelates.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These contrast agents (CAs) increase the nuclear relaxation rate of protons. Concerns about Gd</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toxicity</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and the decrease in relaxation at higher field strengths have inspired the development of alternative contrast agents. Mn</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-porphyrins have been found to have comparable or higher relaxation rates compared to commercial CAs, and their affinity for tumors makes them a promising alternative to Gd-chelates.</w:t>
                  </w:r>
                  <w:r w:rsidRPr="0005639F">
                    <w:rPr>
                      <w:rFonts w:ascii="Times New Roman" w:eastAsia="Times New Roman" w:hAnsi="Times New Roman" w:cs="Times New Roman"/>
                      <w:sz w:val="20"/>
                      <w:szCs w:val="20"/>
                      <w:vertAlign w:val="superscript"/>
                    </w:rPr>
                    <w:t xml:space="preserve">3 </w:t>
                  </w:r>
                  <w:r w:rsidRPr="0005639F">
                    <w:rPr>
                      <w:rFonts w:ascii="Times New Roman" w:eastAsia="Times New Roman" w:hAnsi="Times New Roman" w:cs="Times New Roman"/>
                      <w:sz w:val="20"/>
                      <w:szCs w:val="20"/>
                    </w:rPr>
                    <w:t>Certain Mn</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-porphyrins have anomalously high relaxation rates that cannot be accurately predicted using the Solomon-Bloembergen-Morgan theory of paramagnetic relaxation, assuming the paramagnetic species to be a point-dipole.</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xml:space="preserve"> It is therefore of interest to study the electronic structure of Mn</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-porphyrins and to develop derivatives for possible CAs.</w:t>
                  </w:r>
                  <w:r w:rsidRPr="0005639F">
                    <w:rPr>
                      <w:rFonts w:ascii="Times New Roman" w:eastAsia="Times New Roman" w:hAnsi="Times New Roman" w:cs="Times New Roman"/>
                      <w:sz w:val="20"/>
                      <w:szCs w:val="20"/>
                      <w:vertAlign w:val="superscript"/>
                    </w:rPr>
                    <w:t>5</w:t>
                  </w:r>
                  <w:r w:rsidRPr="0005639F">
                    <w:rPr>
                      <w:rFonts w:ascii="Times New Roman" w:eastAsia="Times New Roman" w:hAnsi="Times New Roman" w:cs="Times New Roman"/>
                      <w:sz w:val="20"/>
                      <w:szCs w:val="20"/>
                    </w:rPr>
                    <w:t xml:space="preserve"> Mn</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-porphyrin peptides can be prepared using a heme tag system in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xml:space="preserve"> that allows for manipulation of the amino acid sequence. We have prepared a Mn</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-porphyrin peptide and Mn</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-porphyrin tagged to the protein azurin from hemes synthesized using the </w:t>
                  </w:r>
                  <w:r w:rsidRPr="0005639F">
                    <w:rPr>
                      <w:rFonts w:ascii="Times New Roman" w:eastAsia="Times New Roman" w:hAnsi="Times New Roman" w:cs="Times New Roman"/>
                      <w:i/>
                      <w:iCs/>
                      <w:sz w:val="20"/>
                      <w:szCs w:val="20"/>
                    </w:rPr>
                    <w:t xml:space="preserve">ccm </w:t>
                  </w:r>
                  <w:r w:rsidRPr="0005639F">
                    <w:rPr>
                      <w:rFonts w:ascii="Times New Roman" w:eastAsia="Times New Roman" w:hAnsi="Times New Roman" w:cs="Times New Roman"/>
                      <w:sz w:val="20"/>
                      <w:szCs w:val="20"/>
                    </w:rPr>
                    <w:t xml:space="preserve">maturation system in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The nuclear magnetic dispersion (NMRD) profiles were obtained. Carbon-13 nuclear magnetic resonance (NMR) is used to characterize the spin-density distribution on the porphyrin. Results suggest that the high spin density on the porphyrin ring enhances relaxation of water protons associating with the porphyrin, thereby increasing the overall relaxation rate of water protons.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2292208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Emily M. Carpenter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Yuriko Takahashi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D. Buchanan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Karin Ruhlandt-Senge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Department of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6" w:anchor="2292208" w:history="1">
                    <w:r w:rsidRPr="0005639F">
                      <w:rPr>
                        <w:rFonts w:ascii="Times New Roman" w:eastAsia="Times New Roman" w:hAnsi="Times New Roman" w:cs="Times New Roman"/>
                        <w:color w:val="0000FF"/>
                        <w:sz w:val="20"/>
                        <w:szCs w:val="20"/>
                        <w:u w:val="single"/>
                      </w:rPr>
                      <w:t>Exploring the role of non-covalent interactions in highly fluorinated alkaline earth metal and lanthanide species as precursors for MOCVD</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increasing number of applications based on lanthanide containing materials is prompting research towards lanthanide based precursors to be used in applications such as Metal Organic Chemical Vapor Deposition (MOCVD). Previous work by this group has shown that lanthanide compounds based on highly fluorinated ligands, including perfluoro-</w:t>
                  </w:r>
                  <w:r w:rsidRPr="0005639F">
                    <w:rPr>
                      <w:rFonts w:ascii="Times New Roman" w:eastAsia="Times New Roman" w:hAnsi="Times New Roman" w:cs="Times New Roman"/>
                      <w:i/>
                      <w:iCs/>
                      <w:sz w:val="20"/>
                      <w:szCs w:val="20"/>
                    </w:rPr>
                    <w:t>tert</w:t>
                  </w:r>
                  <w:r w:rsidRPr="0005639F">
                    <w:rPr>
                      <w:rFonts w:ascii="Times New Roman" w:eastAsia="Times New Roman" w:hAnsi="Times New Roman" w:cs="Times New Roman"/>
                      <w:sz w:val="20"/>
                      <w:szCs w:val="20"/>
                    </w:rPr>
                    <w:t>-butoxide (PFTB), participate in metal-fluorine (M-F) interactions which potentially stabilize the metal center and lead to favorable thermal properties in alkaline earth metal and some lanthanide species. Because the lanthanides, unlike the alkaline earth metals, can access both the +2 and +3 oxidation states, the effect of secondary, non-covalent interactions on the thermal properties of lanthanide containing species are harder to predict and therefore must be explored experimentally. This study has been expanded to include other highly fluorinated ligands that are capable of participating in additional types of non-covalent interactions with the aim of understanding their effects on volatility. The ligand 1,1,1,3,3,3-hexafluoro-2-phenyl-2-propoxide (HFPP) was selected due to its high degree of fluorination and possibility of participating in M-Cπ interactions.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2292275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Kyle A. Veillette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Mitchell R. Bruce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Alice E. Bruce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Gamage S. Garusinghe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Alex Farberg</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Univ of Maine, Orono, ME, United States. </w:t>
                  </w:r>
                  <w:r w:rsidRPr="0005639F">
                    <w:rPr>
                      <w:rFonts w:ascii="Times New Roman" w:eastAsia="Times New Roman" w:hAnsi="Times New Roman" w:cs="Times New Roman"/>
                      <w:sz w:val="20"/>
                      <w:szCs w:val="20"/>
                    </w:rPr>
                    <w:br/>
                    <w:t xml:space="preserve">2. Chemistry Dept, University of Maine, Orono, ME,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7" w:anchor="2292275" w:history="1">
                    <w:r w:rsidRPr="0005639F">
                      <w:rPr>
                        <w:rFonts w:ascii="Times New Roman" w:eastAsia="Times New Roman" w:hAnsi="Times New Roman" w:cs="Times New Roman"/>
                        <w:color w:val="0000FF"/>
                        <w:sz w:val="20"/>
                        <w:szCs w:val="20"/>
                        <w:u w:val="single"/>
                      </w:rPr>
                      <w:t>The synthesis, characterization and electrochemical study of DPPF(AuSC</w:t>
                    </w:r>
                    <w:r w:rsidRPr="0005639F">
                      <w:rPr>
                        <w:rFonts w:ascii="Times New Roman" w:eastAsia="Times New Roman" w:hAnsi="Times New Roman" w:cs="Times New Roman"/>
                        <w:color w:val="0000FF"/>
                        <w:sz w:val="20"/>
                        <w:szCs w:val="20"/>
                        <w:u w:val="single"/>
                        <w:vertAlign w:val="subscript"/>
                      </w:rPr>
                      <w:t>6</w:t>
                    </w:r>
                    <w:r w:rsidRPr="0005639F">
                      <w:rPr>
                        <w:rFonts w:ascii="Times New Roman" w:eastAsia="Times New Roman" w:hAnsi="Times New Roman" w:cs="Times New Roman"/>
                        <w:color w:val="0000FF"/>
                        <w:sz w:val="20"/>
                        <w:szCs w:val="20"/>
                        <w:u w:val="single"/>
                      </w:rPr>
                      <w:t>H</w:t>
                    </w:r>
                    <w:r w:rsidRPr="0005639F">
                      <w:rPr>
                        <w:rFonts w:ascii="Times New Roman" w:eastAsia="Times New Roman" w:hAnsi="Times New Roman" w:cs="Times New Roman"/>
                        <w:color w:val="0000FF"/>
                        <w:sz w:val="20"/>
                        <w:szCs w:val="20"/>
                        <w:u w:val="single"/>
                        <w:vertAlign w:val="subscript"/>
                      </w:rPr>
                      <w:t>4</w:t>
                    </w:r>
                    <w:r w:rsidRPr="0005639F">
                      <w:rPr>
                        <w:rFonts w:ascii="Times New Roman" w:eastAsia="Times New Roman" w:hAnsi="Times New Roman" w:cs="Times New Roman"/>
                        <w:color w:val="0000FF"/>
                        <w:sz w:val="20"/>
                        <w:szCs w:val="20"/>
                        <w:u w:val="single"/>
                      </w:rPr>
                      <w:t>NO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w:t>
                    </w:r>
                    <w:r w:rsidRPr="0005639F">
                      <w:rPr>
                        <w:rFonts w:ascii="Times New Roman" w:eastAsia="Times New Roman" w:hAnsi="Times New Roman" w:cs="Times New Roman"/>
                        <w:color w:val="0000FF"/>
                        <w:sz w:val="20"/>
                        <w:szCs w:val="20"/>
                        <w:u w:val="single"/>
                        <w:vertAlign w:val="subscript"/>
                      </w:rPr>
                      <w:t>2</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DPPF(AuSC</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 xml:space="preserve">2 </w:t>
                  </w:r>
                  <w:r w:rsidRPr="0005639F">
                    <w:rPr>
                      <w:rFonts w:ascii="Times New Roman" w:eastAsia="Times New Roman" w:hAnsi="Times New Roman" w:cs="Times New Roman"/>
                      <w:sz w:val="20"/>
                      <w:szCs w:val="20"/>
                    </w:rPr>
                    <w:t>was synthesized from bis(chlorogold(1))[1,1’-bis(diphenylphosphino)ferrocene] and 4-nitrobenzenethiol. The synthesis was done using standard Schlenk line techniques and was worked up using diffusion recrystallization. The product was characterized by elemental analysis and NMR spectroscopy. A preliminary electrochemical investigation of the DPPF(AuSC</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NO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will be reported.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2292745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Christopher A. Bradley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Zachary Call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Science, Mount St. Marys University, Emmitsburg,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178" w:anchor="2292745" w:history="1">
                    <w:r w:rsidRPr="0005639F">
                      <w:rPr>
                        <w:rFonts w:ascii="Times New Roman" w:eastAsia="Times New Roman" w:hAnsi="Times New Roman" w:cs="Times New Roman"/>
                        <w:color w:val="0000FF"/>
                        <w:sz w:val="20"/>
                        <w:szCs w:val="20"/>
                        <w:u w:val="single"/>
                      </w:rPr>
                      <w:t>Use of a bis(indenyl)zirconium(II) complex as a coactivator organometallic to access reactive, low valent transition metals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 this project, our group utilizes a bis(indenyl) zirconium(II) complex as a coactivator of commercially available transition metal compounds. The zirconium serves as a reducing or ligand transfer agent to provide sources of low valent metal species. We hope to use these reactive intermediates in the activation of a range of small molecules, including dinitrogen and hydrocarbons. Results of stoichiometric reactivity of the zirconium complex with a range of early and late metal compounds will be presented. Attempts at transitioning this coactivator approach to catalysis will also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4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2215755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Intersections of Chemistry and Art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Catherine H. Stephens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Institute for the Preservation of Cultural Heritage, Yale University, West Haven,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79" w:anchor="2215755" w:history="1">
                    <w:r w:rsidRPr="0005639F">
                      <w:rPr>
                        <w:rFonts w:ascii="Times New Roman" w:eastAsia="Times New Roman" w:hAnsi="Times New Roman" w:cs="Times New Roman"/>
                        <w:color w:val="0000FF"/>
                        <w:sz w:val="20"/>
                        <w:szCs w:val="20"/>
                        <w:u w:val="single"/>
                      </w:rPr>
                      <w:t>Degradation of polymers used to make art: origins, measurement, and prevention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long term degradation behavior of cotton, linen, wood, and kozo paper-based artifacts, all artificially-aged at 90°C and 50% relative humidity to promote hydrolytic breakdown, was examined in order better preserve paper-based objects found in libraries and museums. Degradation was monitored using gel permeation chromatography (GPC), pH and Yellowness Index measurements, uniaxial tensile testing, moisture content, and carbonyl content assays. The cellulose component of all four papers dominated measured changes to the molecular weight while the presence of hemicellulose in the linen, wood, and kozo papers led to unique measured moisture contents, carbonyl group, and YI values relative to cotton after the same amount of degradation had occurred. Acid generation during hydrolysis was the inspiration for three art conservation-based projects, one to identify where acid groups are located in cellulose fiber using fluorescent tagging, one to prevent acid migration between paper-based artifacts in storage, and one to understand degradation in cellulose acetate.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2270645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Intersections of Chemistry and Art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Daniel Rabinovich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UNC Charlotte Chemistry, Charlotte, NC,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80" w:anchor="2270645" w:history="1">
                    <w:r w:rsidRPr="0005639F">
                      <w:rPr>
                        <w:rFonts w:ascii="Times New Roman" w:eastAsia="Times New Roman" w:hAnsi="Times New Roman" w:cs="Times New Roman"/>
                        <w:color w:val="0000FF"/>
                        <w:sz w:val="20"/>
                        <w:szCs w:val="20"/>
                        <w:u w:val="single"/>
                      </w:rPr>
                      <w:t>The world of chemistry on postage stamps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r>
                  <w:r w:rsidRPr="0005639F">
                    <w:rPr>
                      <w:rFonts w:ascii="Times New Roman" w:eastAsia="Times New Roman" w:hAnsi="Times New Roman" w:cs="Times New Roman"/>
                      <w:b/>
                      <w:bCs/>
                      <w:sz w:val="20"/>
                      <w:szCs w:val="20"/>
                    </w:rPr>
                    <w:lastRenderedPageBreak/>
                    <w:t xml:space="preserve">Abstract: </w:t>
                  </w:r>
                  <w:r w:rsidRPr="0005639F">
                    <w:rPr>
                      <w:rFonts w:ascii="Times New Roman" w:eastAsia="Times New Roman" w:hAnsi="Times New Roman" w:cs="Times New Roman"/>
                      <w:sz w:val="20"/>
                      <w:szCs w:val="20"/>
                    </w:rPr>
                    <w:t>Postage stamps constitute a simple yet effective communication medium, often used by governments or postal authorities to inform or engage the general public on a variety of subjects. They are also unusual but appealing visual aids that can be used in the classroom to teach chemistry or in publications to illustrate interesting aspects of a specific topic. Although postage stamps featuring historical figures, flora and fauna, sports, and the arts are fairly common, a surprisingly large number of stamps have also been issued to commemorate scientific discoveries or to honor well-known scientists. This presentation will showcase a series of postage stamps pertaining to the history of chemistry, the discovery and sources of the elements, chemical structures, laboratory equipment, biochemistry, and various aspects of the chemical industry.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2288822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Intersections of Chemistry and Art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Gary Wells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Art History, Ithaca College,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81" w:anchor="2288822" w:history="1">
                    <w:r w:rsidRPr="0005639F">
                      <w:rPr>
                        <w:rFonts w:ascii="Times New Roman" w:eastAsia="Times New Roman" w:hAnsi="Times New Roman" w:cs="Times New Roman"/>
                        <w:color w:val="0000FF"/>
                        <w:sz w:val="20"/>
                        <w:szCs w:val="20"/>
                        <w:u w:val="single"/>
                      </w:rPr>
                      <w:t>Neighboring metals: Teaching art history in the chemistry and art classroom</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While undergraduate courses carrying the title “Chemistry and Art” have appeared with increasing frequency, most of these courses use art as the object of chemistry rather than the main subject of inquiry. While such courses emphasize issues of material creation, conservation, and forensic analysis, the historical, iconographical, and contextual aspects of art are sometimes ignored or neglected. At Ithaca College, “Chemistry and Art” has been taught as a collaboration between chemistry professor Michael Haaf and art history professor Gary Wells. This paper addresses some of the art historical aspects of the course and the challenges of interdisciplinarity in a science/humanities classroom. Beyond the value of understanding a material history of art through the lens of chemistry, such a collaborative approach can illuminate the parallel histories of science and art, the artist’s view of science as subject and framework, and the implications of scientific methods for art historical writing and research.</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2290733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Intersections of Chemistry and Art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Jennifer Mass</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Emeline Pouyet</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Marine Cotte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Carol Hirschmugl</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Alyssa M. Hull</w:t>
                  </w:r>
                  <w:r w:rsidRPr="0005639F">
                    <w:rPr>
                      <w:rFonts w:ascii="Times New Roman" w:eastAsia="Times New Roman" w:hAnsi="Times New Roman" w:cs="Times New Roman"/>
                      <w:sz w:val="20"/>
                      <w:szCs w:val="20"/>
                      <w:vertAlign w:val="superscript"/>
                    </w:rPr>
                    <w:t>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Art Conservation, Winterthur Museum, Winterthur, DE, United States. </w:t>
                  </w:r>
                  <w:r w:rsidRPr="0005639F">
                    <w:rPr>
                      <w:rFonts w:ascii="Times New Roman" w:eastAsia="Times New Roman" w:hAnsi="Times New Roman" w:cs="Times New Roman"/>
                      <w:sz w:val="20"/>
                      <w:szCs w:val="20"/>
                    </w:rPr>
                    <w:br/>
                    <w:t xml:space="preserve">2. Art Conservation, University of Delaware, Newark, DE, United States. </w:t>
                  </w:r>
                  <w:r w:rsidRPr="0005639F">
                    <w:rPr>
                      <w:rFonts w:ascii="Times New Roman" w:eastAsia="Times New Roman" w:hAnsi="Times New Roman" w:cs="Times New Roman"/>
                      <w:sz w:val="20"/>
                      <w:szCs w:val="20"/>
                    </w:rPr>
                    <w:br/>
                    <w:t xml:space="preserve">3. ID21, ESRF, Grenoble, France. </w:t>
                  </w:r>
                  <w:r w:rsidRPr="0005639F">
                    <w:rPr>
                      <w:rFonts w:ascii="Times New Roman" w:eastAsia="Times New Roman" w:hAnsi="Times New Roman" w:cs="Times New Roman"/>
                      <w:sz w:val="20"/>
                      <w:szCs w:val="20"/>
                    </w:rPr>
                    <w:br/>
                    <w:t xml:space="preserve">4. Physics, University of Wisconsin Milwaukee, Milwaukee, WI, United States. </w:t>
                  </w:r>
                  <w:r w:rsidRPr="0005639F">
                    <w:rPr>
                      <w:rFonts w:ascii="Times New Roman" w:eastAsia="Times New Roman" w:hAnsi="Times New Roman" w:cs="Times New Roman"/>
                      <w:sz w:val="20"/>
                      <w:szCs w:val="20"/>
                    </w:rPr>
                    <w:br/>
                    <w:t xml:space="preserve">5. Conservation , Munch Museum, Oslo, Norway.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182" w:anchor="2290733" w:history="1">
                    <w:r w:rsidRPr="0005639F">
                      <w:rPr>
                        <w:rFonts w:ascii="Times New Roman" w:eastAsia="Times New Roman" w:hAnsi="Times New Roman" w:cs="Times New Roman"/>
                        <w:color w:val="0000FF"/>
                        <w:sz w:val="20"/>
                        <w:szCs w:val="20"/>
                        <w:u w:val="single"/>
                      </w:rPr>
                      <w:t>Don’t fade away: saving the vivid yellows of Henri Matisse, Edvard Munch, and Vincent Van Gogh</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 the 19</w:t>
                  </w:r>
                  <w:r w:rsidRPr="0005639F">
                    <w:rPr>
                      <w:rFonts w:ascii="Times New Roman" w:eastAsia="Times New Roman" w:hAnsi="Times New Roman" w:cs="Times New Roman"/>
                      <w:sz w:val="20"/>
                      <w:szCs w:val="20"/>
                      <w:vertAlign w:val="superscript"/>
                    </w:rPr>
                    <w:t>th</w:t>
                  </w:r>
                  <w:r w:rsidRPr="0005639F">
                    <w:rPr>
                      <w:rFonts w:ascii="Times New Roman" w:eastAsia="Times New Roman" w:hAnsi="Times New Roman" w:cs="Times New Roman"/>
                      <w:sz w:val="20"/>
                      <w:szCs w:val="20"/>
                    </w:rPr>
                    <w:t xml:space="preserve"> century new inorganic pigments were developed and introduced as alternatives to well-established traditional ones, often outclassing them in colour intensity, purity, cost, and covering power. However, in Impressionist and early modernist paintings from the turn of the 20</w:t>
                  </w:r>
                  <w:r w:rsidRPr="0005639F">
                    <w:rPr>
                      <w:rFonts w:ascii="Times New Roman" w:eastAsia="Times New Roman" w:hAnsi="Times New Roman" w:cs="Times New Roman"/>
                      <w:sz w:val="20"/>
                      <w:szCs w:val="20"/>
                      <w:vertAlign w:val="superscript"/>
                    </w:rPr>
                    <w:t>th</w:t>
                  </w:r>
                  <w:r w:rsidRPr="0005639F">
                    <w:rPr>
                      <w:rFonts w:ascii="Times New Roman" w:eastAsia="Times New Roman" w:hAnsi="Times New Roman" w:cs="Times New Roman"/>
                      <w:sz w:val="20"/>
                      <w:szCs w:val="20"/>
                    </w:rPr>
                    <w:t xml:space="preserve"> century, synthetic inorganic pigments have recently started to undergo chemical and physical degradation phenomena ranging from fading and color shifts to spalling and flaking. In particular, photo-oxidative degradation of yellow cadmium sulphide (CdS) pigments has been observed over the past decade in works by Pablo Picasso, Vincent Van Gogh, Henri Matisse, Edvard Munch, and their contemporaries.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We have characterized the chemistry behind the changes observed in cadmium yellow areas of The Barnes Foundation’s </w:t>
                  </w:r>
                  <w:r w:rsidRPr="0005639F">
                    <w:rPr>
                      <w:rFonts w:ascii="Times New Roman" w:eastAsia="Times New Roman" w:hAnsi="Times New Roman" w:cs="Times New Roman"/>
                      <w:i/>
                      <w:iCs/>
                      <w:sz w:val="20"/>
                      <w:szCs w:val="20"/>
                    </w:rPr>
                    <w:t>The</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Joy of life</w:t>
                  </w:r>
                  <w:r w:rsidRPr="0005639F">
                    <w:rPr>
                      <w:rFonts w:ascii="Times New Roman" w:eastAsia="Times New Roman" w:hAnsi="Times New Roman" w:cs="Times New Roman"/>
                      <w:sz w:val="20"/>
                      <w:szCs w:val="20"/>
                    </w:rPr>
                    <w:t xml:space="preserve"> (Henri Matisse, 1905-6). Synchrotron-based studies were carried out at ESRF, SSRL and IRENI (SRC). By combining micro Fourier Transform InfraRed (µFTIR) spectroscopy (µXRF) and µXANES spectroscopy (at the Cd L</w:t>
                  </w:r>
                  <w:r w:rsidRPr="0005639F">
                    <w:rPr>
                      <w:rFonts w:ascii="Times New Roman" w:eastAsia="Times New Roman" w:hAnsi="Times New Roman" w:cs="Times New Roman"/>
                      <w:sz w:val="20"/>
                      <w:szCs w:val="20"/>
                      <w:vertAlign w:val="subscript"/>
                    </w:rPr>
                    <w:t>III</w:t>
                  </w:r>
                  <w:r w:rsidRPr="0005639F">
                    <w:rPr>
                      <w:rFonts w:ascii="Times New Roman" w:eastAsia="Times New Roman" w:hAnsi="Times New Roman" w:cs="Times New Roman"/>
                      <w:sz w:val="20"/>
                      <w:szCs w:val="20"/>
                    </w:rPr>
                    <w:t>-edge and at the S K-edge) degradation products were identified in the altered regions. CdCO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was present in high concentrations in all altered regions, suggesting that it is a poorly soluble photo-degradation product rather than a residual starting reagent. In the intact yellow paint, the identification of CdS and CdCl</w:t>
                  </w:r>
                  <w:r w:rsidRPr="0005639F">
                    <w:rPr>
                      <w:rFonts w:ascii="Times New Roman" w:eastAsia="Times New Roman" w:hAnsi="Times New Roman" w:cs="Times New Roman"/>
                      <w:sz w:val="20"/>
                      <w:szCs w:val="20"/>
                      <w:vertAlign w:val="subscript"/>
                    </w:rPr>
                    <w:t xml:space="preserve">2 </w:t>
                  </w:r>
                  <w:r w:rsidRPr="0005639F">
                    <w:rPr>
                      <w:rFonts w:ascii="Times New Roman" w:eastAsia="Times New Roman" w:hAnsi="Times New Roman" w:cs="Times New Roman"/>
                      <w:sz w:val="20"/>
                      <w:szCs w:val="20"/>
                    </w:rPr>
                    <w:t>nH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 suggest that cadmium chloride was the starting reagent for the synthesis of the CdS. CdSO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nH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 was also enriched in the off-white alteration layers. Alteration crusts had no remaining CdS, all of which had been oxidized to cadmium sulphates, carbonates, and oxalates. The sensitivity of these SR-techniques is critical for the identification of photo-alteration products in paintings where the degradation is not yet visible to the eye, allowing for preventive conservation measures (such as closer management of light levels and relative humidity) to be carried out when they are observed.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2211026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Anthony B. Dichiara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Samuel Harlander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Reginald E. Rogers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Chemical Engineering, Rochester Institute of Technology,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83" w:anchor="2211026" w:history="1">
                    <w:r w:rsidRPr="0005639F">
                      <w:rPr>
                        <w:rFonts w:ascii="Times New Roman" w:eastAsia="Times New Roman" w:hAnsi="Times New Roman" w:cs="Times New Roman"/>
                        <w:color w:val="0000FF"/>
                        <w:sz w:val="20"/>
                        <w:szCs w:val="20"/>
                        <w:u w:val="single"/>
                      </w:rPr>
                      <w:t>Fixed bed adsorption of pesticides from aqueous solution using carbon nanotubes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Fixed bed adsorption of common water soluble pesticides on carbon nanotubes (CNTs) is examined both experimentally and theoretically. Although it is well known that fixed bed techniques can be more efficient in removing contaminants, prior studies of adsorption on such carbonaceous materials have utilized batch processes. Experimental results show that CNTs can treat much larger amounts of water per unit mass than activated carbon (AC), the most widely used adsorbent to date. In particular, single-wall CNTs show a factor of three increase in breakthrough time compared with AC regardless of feed concentration. Additionally, the adsorption capacity of single-wall CNTs at breakthrough shows improvement over AC by a factor of 3 for similar bed depths in the column, corresponding to one order of magnitude increase on a per mass basis, for all feed concentrations studied. Theoretical prediction of breakthrough curves is accomplished semi-empirically, as the model requires fitting of experimental data to determine two parameters that incorporate axial diffusion and the overall mass transfer coefficient in the column. Agreement between the resulting breakthrough curves and experiment is excellent, and the fit values of the unknown parameters are reasonable compared with mass transfer correlations in the literature.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2214918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William Harrigan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Kevin R. Kittilstved</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University of Massachusetts Amherst, Amherst,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84" w:anchor="2214918" w:history="1">
                    <w:r w:rsidRPr="0005639F">
                      <w:rPr>
                        <w:rFonts w:ascii="Times New Roman" w:eastAsia="Times New Roman" w:hAnsi="Times New Roman" w:cs="Times New Roman"/>
                        <w:color w:val="0000FF"/>
                        <w:sz w:val="20"/>
                        <w:szCs w:val="20"/>
                        <w:u w:val="single"/>
                      </w:rPr>
                      <w:t>Synthesis and spectroscopy of Cr(III) ions in colloidal SrTiO</w:t>
                    </w:r>
                    <w:r w:rsidRPr="0005639F">
                      <w:rPr>
                        <w:rFonts w:ascii="Times New Roman" w:eastAsia="Times New Roman" w:hAnsi="Times New Roman" w:cs="Times New Roman"/>
                        <w:color w:val="0000FF"/>
                        <w:sz w:val="20"/>
                        <w:szCs w:val="20"/>
                        <w:u w:val="single"/>
                        <w:vertAlign w:val="subscript"/>
                      </w:rPr>
                      <w:t>3</w:t>
                    </w:r>
                    <w:r w:rsidRPr="0005639F">
                      <w:rPr>
                        <w:rFonts w:ascii="Times New Roman" w:eastAsia="Times New Roman" w:hAnsi="Times New Roman" w:cs="Times New Roman"/>
                        <w:color w:val="0000FF"/>
                        <w:sz w:val="20"/>
                        <w:szCs w:val="20"/>
                        <w:u w:val="single"/>
                      </w:rPr>
                      <w:t xml:space="preserve"> nanocrystals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introduction of transition metal ions into wide bandgap semiconductors such as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ZnO and SrTiO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is a well-known strategy to impart new properties to the material such as visible-light photocatalysis and Giant Zeeman splitting of the conduction and valence band carriers. Strontium titanate (SrTiO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is a cubic perovskite at room temperature with interesting electronic and dieletric properties that can be controlled by substitutional doping of Cr(III) ions into the Ti(IV) octahedral sites. Producing well-defined colloidal Sr(Ti</w:t>
                  </w:r>
                  <w:r w:rsidRPr="0005639F">
                    <w:rPr>
                      <w:rFonts w:ascii="Times New Roman" w:eastAsia="Times New Roman" w:hAnsi="Times New Roman" w:cs="Times New Roman"/>
                      <w:sz w:val="20"/>
                      <w:szCs w:val="20"/>
                      <w:vertAlign w:val="subscript"/>
                    </w:rPr>
                    <w:t>1–x</w:t>
                  </w:r>
                  <w:r w:rsidRPr="0005639F">
                    <w:rPr>
                      <w:rFonts w:ascii="Times New Roman" w:eastAsia="Times New Roman" w:hAnsi="Times New Roman" w:cs="Times New Roman"/>
                      <w:sz w:val="20"/>
                      <w:szCs w:val="20"/>
                    </w:rPr>
                    <w:t>Cr</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nanomaterials would enable fundamental size-dependent studies to be performed as well as solution-based fabrication of novel spin-based electronics devices. However, fabrication of colloidal doped-perovskites has proven a challenge to the field. In this talk we will present the first synthesis of colloidal Sr(Ti</w:t>
                  </w:r>
                  <w:r w:rsidRPr="0005639F">
                    <w:rPr>
                      <w:rFonts w:ascii="Times New Roman" w:eastAsia="Times New Roman" w:hAnsi="Times New Roman" w:cs="Times New Roman"/>
                      <w:sz w:val="20"/>
                      <w:szCs w:val="20"/>
                      <w:vertAlign w:val="subscript"/>
                    </w:rPr>
                    <w:t>1–x</w:t>
                  </w:r>
                  <w:r w:rsidRPr="0005639F">
                    <w:rPr>
                      <w:rFonts w:ascii="Times New Roman" w:eastAsia="Times New Roman" w:hAnsi="Times New Roman" w:cs="Times New Roman"/>
                      <w:sz w:val="20"/>
                      <w:szCs w:val="20"/>
                    </w:rPr>
                    <w:t>Cr</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nanocrystals by a hydrothermal method. The nanoparticles are of the order of 10 nm and crystalline. We confirm Cr(III) substitution at the Ti(IV) site by various dopant-specific spectroscopies including electronic paramagnetic resonance and low-temperature emission spectroscopy. Subtle aspects of the synthesis will be presented that shed light onto the possible challenges in the synthesis of these materials. This opens the path for more detailed studies of the spintronic and visible-light activity of this new nanomaterial.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 xml:space="preserve">I will be arriving Wednesday to be around for the graduate recruiting fair during the poster sessions. I need to present no later than Thursday as I have child-care commitments on Friday back at home.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2251061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Dan Lehnherr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Joaquin M. Alzola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Dichtel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85" w:anchor="2251061" w:history="1">
                    <w:r w:rsidRPr="0005639F">
                      <w:rPr>
                        <w:rFonts w:ascii="Times New Roman" w:eastAsia="Times New Roman" w:hAnsi="Times New Roman" w:cs="Times New Roman"/>
                        <w:color w:val="0000FF"/>
                        <w:sz w:val="20"/>
                        <w:szCs w:val="20"/>
                        <w:u w:val="single"/>
                      </w:rPr>
                      <w:t xml:space="preserve">Cycloaddition strategies to polyhalogenated carbon-rich architectures: </w:t>
                    </w:r>
                    <w:r w:rsidRPr="0005639F">
                      <w:rPr>
                        <w:rFonts w:ascii="Times New Roman" w:eastAsia="Times New Roman" w:hAnsi="Times New Roman" w:cs="Times New Roman"/>
                        <w:i/>
                        <w:iCs/>
                        <w:color w:val="0000FF"/>
                        <w:sz w:val="20"/>
                        <w:szCs w:val="20"/>
                        <w:u w:val="single"/>
                      </w:rPr>
                      <w:t>ortho</w:t>
                    </w:r>
                    <w:r w:rsidRPr="0005639F">
                      <w:rPr>
                        <w:rFonts w:ascii="Times New Roman" w:eastAsia="Times New Roman" w:hAnsi="Times New Roman" w:cs="Times New Roman"/>
                        <w:color w:val="0000FF"/>
                        <w:sz w:val="20"/>
                        <w:szCs w:val="20"/>
                        <w:u w:val="single"/>
                      </w:rPr>
                      <w:t>-arylene foldamers, polycyclic aromatics, and graphene nanoribbons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Polycyclic aromatic hydrocarbons (PAHs) are conceptually the building blocks of many carbon-rich based materials, such as graphene, fullerenes, and carbon nanotubes. Our interest in developing bottom-up synthetic approaches to subunits of these materials, such as graphene nanoribbons, has led us to develop new synthetic strategies to form carbocycles, including benzannulation strategies for the formation of PAHs. These strategies will be presented with a particular focus on unique methods of incorporating halides into aromatic frameworks. A catalyzed reaction of a haloalkyne with a halogenated benzaldehyde provides a rapid, convergent assembly of polyheterohalogenated naphthalenes with each halide substituent potentially being unique (X = F, Cl, </w:t>
                  </w:r>
                  <w:r w:rsidRPr="0005639F">
                    <w:rPr>
                      <w:rFonts w:ascii="Times New Roman" w:eastAsia="Times New Roman" w:hAnsi="Times New Roman" w:cs="Times New Roman"/>
                      <w:sz w:val="20"/>
                      <w:szCs w:val="20"/>
                    </w:rPr>
                    <w:lastRenderedPageBreak/>
                    <w:t>Br, I).</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This synthetic method can be used either for the formation of truly unique monomers for polymer synthesis, or for the conversion of acetylene-based architectures into complex polyhalogenated polycyclic aromatic structures. For example, </w:t>
                  </w:r>
                  <w:r w:rsidRPr="0005639F">
                    <w:rPr>
                      <w:rFonts w:ascii="Times New Roman" w:eastAsia="Times New Roman" w:hAnsi="Times New Roman" w:cs="Times New Roman"/>
                      <w:i/>
                      <w:iCs/>
                      <w:sz w:val="20"/>
                      <w:szCs w:val="20"/>
                    </w:rPr>
                    <w:t>ortho</w:t>
                  </w:r>
                  <w:r w:rsidRPr="0005639F">
                    <w:rPr>
                      <w:rFonts w:ascii="Times New Roman" w:eastAsia="Times New Roman" w:hAnsi="Times New Roman" w:cs="Times New Roman"/>
                      <w:sz w:val="20"/>
                      <w:szCs w:val="20"/>
                    </w:rPr>
                    <w:t xml:space="preserve">-arylethynylenes can be transformed to </w:t>
                  </w:r>
                  <w:r w:rsidRPr="0005639F">
                    <w:rPr>
                      <w:rFonts w:ascii="Times New Roman" w:eastAsia="Times New Roman" w:hAnsi="Times New Roman" w:cs="Times New Roman"/>
                      <w:i/>
                      <w:iCs/>
                      <w:sz w:val="20"/>
                      <w:szCs w:val="20"/>
                    </w:rPr>
                    <w:t>ortho</w:t>
                  </w:r>
                  <w:r w:rsidRPr="0005639F">
                    <w:rPr>
                      <w:rFonts w:ascii="Times New Roman" w:eastAsia="Times New Roman" w:hAnsi="Times New Roman" w:cs="Times New Roman"/>
                      <w:sz w:val="20"/>
                      <w:szCs w:val="20"/>
                    </w:rPr>
                    <w:t xml:space="preserve">-arylenes, both in oligomeric and polymeric settings, enabling the exploration of hydrocarbon-based foldamers and their polyhalogenated analogs. X-ray crystallography of the defined-length </w:t>
                  </w:r>
                  <w:r w:rsidRPr="0005639F">
                    <w:rPr>
                      <w:rFonts w:ascii="Times New Roman" w:eastAsia="Times New Roman" w:hAnsi="Times New Roman" w:cs="Times New Roman"/>
                      <w:i/>
                      <w:iCs/>
                      <w:sz w:val="20"/>
                      <w:szCs w:val="20"/>
                    </w:rPr>
                    <w:t>ortho</w:t>
                  </w:r>
                  <w:r w:rsidRPr="0005639F">
                    <w:rPr>
                      <w:rFonts w:ascii="Times New Roman" w:eastAsia="Times New Roman" w:hAnsi="Times New Roman" w:cs="Times New Roman"/>
                      <w:sz w:val="20"/>
                      <w:szCs w:val="20"/>
                    </w:rPr>
                    <w:t xml:space="preserve">-arylene oligomers confirms their ability to adopt helical structures with intramolecular pi-stacking. Traditional cross-couplings methods are typically ineffective for the formation of such </w:t>
                  </w:r>
                  <w:r w:rsidRPr="0005639F">
                    <w:rPr>
                      <w:rFonts w:ascii="Times New Roman" w:eastAsia="Times New Roman" w:hAnsi="Times New Roman" w:cs="Times New Roman"/>
                      <w:i/>
                      <w:iCs/>
                      <w:sz w:val="20"/>
                      <w:szCs w:val="20"/>
                    </w:rPr>
                    <w:t>ortho</w:t>
                  </w:r>
                  <w:r w:rsidRPr="0005639F">
                    <w:rPr>
                      <w:rFonts w:ascii="Times New Roman" w:eastAsia="Times New Roman" w:hAnsi="Times New Roman" w:cs="Times New Roman"/>
                      <w:sz w:val="20"/>
                      <w:szCs w:val="20"/>
                    </w:rPr>
                    <w:t>-arylenes due to the sterically congested architecture, in contrast our method does not suffer from this limitation and enables access to uniquely substituted precursors to graphene nanoribbons towards controlling edge functionality, including unsymmetrical edge-substitutions with unique halogenation patterns.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2265352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Jennifer A. Sidletsky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Jonathan J. Zurmuhlen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Paul J. G. Goulet</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Biomolecular Science, Clarkson University,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86" w:anchor="2265352" w:history="1">
                    <w:r w:rsidRPr="0005639F">
                      <w:rPr>
                        <w:rFonts w:ascii="Times New Roman" w:eastAsia="Times New Roman" w:hAnsi="Times New Roman" w:cs="Times New Roman"/>
                        <w:b/>
                        <w:bCs/>
                        <w:color w:val="0000FF"/>
                        <w:sz w:val="20"/>
                        <w:szCs w:val="20"/>
                        <w:u w:val="single"/>
                      </w:rPr>
                      <w:t>Studies into the Two-Phase Synthesis of Alkanethiolate-Protected Pd and Pt Nanoparticles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two-phase Brust-Schiffrin synthesis been widely employed as a reliable method for generating small nanoparticles (1-10 nm) of a variety of different metals, including Au, Ag, Cu, Ir, Pd, and Pt. The thiolate-protected metal nanoparticle products of these syntheses are typically highly stable, relatively monodisperse, and can be dried, stored indefinitely, and redispersed without significant change. A thorough mechanistic understanding of these relatively complex, three-step syntheses using Pd and Pt, however, is still lacking. Here, the results of several mechanistic studies into the two-phase Brust-Schiffrin synthesis of thiolate-protected Pd and Pt nanoparticles are presented. UV-visible absorption, infrared absorption, Raman scattering,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H NMR, TGA, and TEM have been employed toward developing an inventory of the chemical species present, and the reactions/processes occurring, at each stage of these syntheses. It is expected that the insights provided here will improve understanding of these complex syntheses, and offer greater control over their nanoparticle products.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2284573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Mario Wriedt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Joshua Pyser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Darpandeep Aulakh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Andrey Yakovenko</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Xuan Zhang</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Kim R. Dunbar</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Biomolecular Science, Clarkson University, Potsdam, NY, United States. </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lastRenderedPageBreak/>
                    <w:t xml:space="preserve">2. Texas AM Univ, College Station, TX, United States. </w:t>
                  </w:r>
                  <w:r w:rsidRPr="0005639F">
                    <w:rPr>
                      <w:rFonts w:ascii="Times New Roman" w:eastAsia="Times New Roman" w:hAnsi="Times New Roman" w:cs="Times New Roman"/>
                      <w:sz w:val="20"/>
                      <w:szCs w:val="20"/>
                    </w:rPr>
                    <w:br/>
                    <w:t xml:space="preserve">3. Advanced Photon Source, Argonne National Laboratory, Argonne, IL, United States. </w:t>
                  </w:r>
                  <w:r w:rsidRPr="0005639F">
                    <w:rPr>
                      <w:rFonts w:ascii="Times New Roman" w:eastAsia="Times New Roman" w:hAnsi="Times New Roman" w:cs="Times New Roman"/>
                      <w:sz w:val="20"/>
                      <w:szCs w:val="20"/>
                    </w:rPr>
                    <w:br/>
                    <w:t xml:space="preserve">4. Department of Chemistry, Texas A&amp;M University, College Station, TX,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187" w:anchor="2284573" w:history="1">
                    <w:r w:rsidRPr="0005639F">
                      <w:rPr>
                        <w:rFonts w:ascii="Times New Roman" w:eastAsia="Times New Roman" w:hAnsi="Times New Roman" w:cs="Times New Roman"/>
                        <w:color w:val="0000FF"/>
                        <w:sz w:val="20"/>
                        <w:szCs w:val="20"/>
                        <w:u w:val="single"/>
                      </w:rPr>
                      <w:t>Metal-organic frameworks as platform to arrange and protect single-molecule magnets in multidimensional arrays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Next-generation computer technologies will require ultrahigh-density data storage devices and quantum computing based on isolated spin-carriers, so-called molecular spintronics. [1] Single-molecule magnets (SMMs) have shown great potential for such applications. [2] Their unique magnetic properties enable SMMs to be used in spintronics for switching from total spin up to total spin down on a molecular level, and therefore each molecule can be used as a magnetic bit of information. Although a broad community works on the design of new SMMs with improved properties, [3] coupling of the nanoscale units to the macroscopic world remains as a key challenge. [4] Any practical application of SMMs requires in the first step their organization in 2D or 3D networks to allow read-and-write processes. Moreover, they are very delicate molecules that break down easily and thus, they need to be protected to retain their unique magnetic properties. Owed to their crystalline nature and tunability, metal-organic frameworks (MOFs) provide an excellent means to overcome this challenge. We investigated the unprecedented incorporation of SMMs into multidimensional MOF matrixes, yielding new nanostructured composite materials that combines key SMM properties with the functional properties of MOFs (Fig. 1). We believe that these findings might be crucial for the development of spintronics in real world applications. In this presentation we will focus on the fundamental understanding in the exciting structure-property relationships of these SMM@MOF composite materials.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b/>
                      <w:bCs/>
                      <w:sz w:val="20"/>
                      <w:szCs w:val="20"/>
                    </w:rPr>
                    <w:t>Figure 1.</w:t>
                  </w:r>
                  <w:r w:rsidRPr="0005639F">
                    <w:rPr>
                      <w:rFonts w:ascii="Times New Roman" w:eastAsia="Times New Roman" w:hAnsi="Times New Roman" w:cs="Times New Roman"/>
                      <w:sz w:val="20"/>
                      <w:szCs w:val="20"/>
                    </w:rPr>
                    <w:t xml:space="preserve"> Schematic representation of a MOF hosting SMM molecules.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References</w:t>
                  </w:r>
                  <w:r w:rsidRPr="0005639F">
                    <w:rPr>
                      <w:rFonts w:ascii="Times New Roman" w:eastAsia="Times New Roman" w:hAnsi="Times New Roman" w:cs="Times New Roman"/>
                      <w:sz w:val="20"/>
                      <w:szCs w:val="20"/>
                    </w:rPr>
                    <w:br/>
                    <w:t xml:space="preserve">(1)Sanvito, S. </w:t>
                  </w:r>
                  <w:r w:rsidRPr="0005639F">
                    <w:rPr>
                      <w:rFonts w:ascii="Times New Roman" w:eastAsia="Times New Roman" w:hAnsi="Times New Roman" w:cs="Times New Roman"/>
                      <w:i/>
                      <w:iCs/>
                      <w:sz w:val="20"/>
                      <w:szCs w:val="20"/>
                    </w:rPr>
                    <w:t>Chem. Soc. Rev.</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40</w:t>
                  </w:r>
                  <w:r w:rsidRPr="0005639F">
                    <w:rPr>
                      <w:rFonts w:ascii="Times New Roman" w:eastAsia="Times New Roman" w:hAnsi="Times New Roman" w:cs="Times New Roman"/>
                      <w:sz w:val="20"/>
                      <w:szCs w:val="20"/>
                    </w:rPr>
                    <w:t>, 3336.</w:t>
                  </w:r>
                  <w:r w:rsidRPr="0005639F">
                    <w:rPr>
                      <w:rFonts w:ascii="Times New Roman" w:eastAsia="Times New Roman" w:hAnsi="Times New Roman" w:cs="Times New Roman"/>
                      <w:sz w:val="20"/>
                      <w:szCs w:val="20"/>
                    </w:rPr>
                    <w:br/>
                    <w:t xml:space="preserve">Bogani, L.; Wernsdorfer, W. </w:t>
                  </w:r>
                  <w:r w:rsidRPr="0005639F">
                    <w:rPr>
                      <w:rFonts w:ascii="Times New Roman" w:eastAsia="Times New Roman" w:hAnsi="Times New Roman" w:cs="Times New Roman"/>
                      <w:i/>
                      <w:iCs/>
                      <w:sz w:val="20"/>
                      <w:szCs w:val="20"/>
                    </w:rPr>
                    <w:t>Nat Mater</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2008</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7</w:t>
                  </w:r>
                  <w:r w:rsidRPr="0005639F">
                    <w:rPr>
                      <w:rFonts w:ascii="Times New Roman" w:eastAsia="Times New Roman" w:hAnsi="Times New Roman" w:cs="Times New Roman"/>
                      <w:sz w:val="20"/>
                      <w:szCs w:val="20"/>
                    </w:rPr>
                    <w:t>, 179.</w:t>
                  </w:r>
                  <w:r w:rsidRPr="0005639F">
                    <w:rPr>
                      <w:rFonts w:ascii="Times New Roman" w:eastAsia="Times New Roman" w:hAnsi="Times New Roman" w:cs="Times New Roman"/>
                      <w:sz w:val="20"/>
                      <w:szCs w:val="20"/>
                    </w:rPr>
                    <w:br/>
                    <w:t xml:space="preserve">(3)Woodruff, D. N.; Winpenny, R. E. P.; Layfield, R. A. </w:t>
                  </w:r>
                  <w:r w:rsidRPr="0005639F">
                    <w:rPr>
                      <w:rFonts w:ascii="Times New Roman" w:eastAsia="Times New Roman" w:hAnsi="Times New Roman" w:cs="Times New Roman"/>
                      <w:i/>
                      <w:iCs/>
                      <w:sz w:val="20"/>
                      <w:szCs w:val="20"/>
                    </w:rPr>
                    <w:t>Chem. Rev.</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2013</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113</w:t>
                  </w:r>
                  <w:r w:rsidRPr="0005639F">
                    <w:rPr>
                      <w:rFonts w:ascii="Times New Roman" w:eastAsia="Times New Roman" w:hAnsi="Times New Roman" w:cs="Times New Roman"/>
                      <w:sz w:val="20"/>
                      <w:szCs w:val="20"/>
                    </w:rPr>
                    <w:t>, 5110.</w:t>
                  </w:r>
                  <w:r w:rsidRPr="0005639F">
                    <w:rPr>
                      <w:rFonts w:ascii="Times New Roman" w:eastAsia="Times New Roman" w:hAnsi="Times New Roman" w:cs="Times New Roman"/>
                      <w:sz w:val="20"/>
                      <w:szCs w:val="20"/>
                    </w:rPr>
                    <w:br/>
                    <w:t xml:space="preserve">(4)Domingo, N.; Bellido, E.; Ruiz-Molina, D. </w:t>
                  </w:r>
                  <w:r w:rsidRPr="0005639F">
                    <w:rPr>
                      <w:rFonts w:ascii="Times New Roman" w:eastAsia="Times New Roman" w:hAnsi="Times New Roman" w:cs="Times New Roman"/>
                      <w:i/>
                      <w:iCs/>
                      <w:sz w:val="20"/>
                      <w:szCs w:val="20"/>
                    </w:rPr>
                    <w:t>Chem. Soc. Rev.</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2012</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41</w:t>
                  </w:r>
                  <w:r w:rsidRPr="0005639F">
                    <w:rPr>
                      <w:rFonts w:ascii="Times New Roman" w:eastAsia="Times New Roman" w:hAnsi="Times New Roman" w:cs="Times New Roman"/>
                      <w:sz w:val="20"/>
                      <w:szCs w:val="20"/>
                    </w:rPr>
                    <w:t>, 258.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2286346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Curtis Williamson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Tobias Hanrath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Richard D. Robinson</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University, Ithaca, NY, United States. </w:t>
                  </w:r>
                  <w:r w:rsidRPr="0005639F">
                    <w:rPr>
                      <w:rFonts w:ascii="Times New Roman" w:eastAsia="Times New Roman" w:hAnsi="Times New Roman" w:cs="Times New Roman"/>
                      <w:sz w:val="20"/>
                      <w:szCs w:val="20"/>
                    </w:rPr>
                    <w:br/>
                    <w:t xml:space="preserve">2. Chemical Engineering, Cornell University , Ithaca, NY, United States. </w:t>
                  </w:r>
                  <w:r w:rsidRPr="0005639F">
                    <w:rPr>
                      <w:rFonts w:ascii="Times New Roman" w:eastAsia="Times New Roman" w:hAnsi="Times New Roman" w:cs="Times New Roman"/>
                      <w:sz w:val="20"/>
                      <w:szCs w:val="20"/>
                    </w:rPr>
                    <w:br/>
                    <w:t xml:space="preserve">3. MSE Department,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88" w:anchor="2286346" w:history="1">
                    <w:r w:rsidRPr="0005639F">
                      <w:rPr>
                        <w:rFonts w:ascii="Times New Roman" w:eastAsia="Times New Roman" w:hAnsi="Times New Roman" w:cs="Times New Roman"/>
                        <w:b/>
                        <w:bCs/>
                        <w:color w:val="0000FF"/>
                        <w:sz w:val="20"/>
                        <w:szCs w:val="20"/>
                        <w:u w:val="single"/>
                      </w:rPr>
                      <w:t>Precise control of nanoparticle growth and uniformity via quantifiable mixing parameters of a novel synthesis method</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synthesis of nanoparticles has been vastly explored over the years with many strides in reproducibility and scale-up by chemical means. However, there are several critical aspects which have been overlooked, particularly solution mixing. It is believed a well-mixed solution is necessary in reproducibility, control, and quality of the nanoparticles, but there has been little to no emphasis on its description. A more physical </w:t>
                  </w:r>
                  <w:r w:rsidRPr="0005639F">
                    <w:rPr>
                      <w:rFonts w:ascii="Times New Roman" w:eastAsia="Times New Roman" w:hAnsi="Times New Roman" w:cs="Times New Roman"/>
                      <w:sz w:val="20"/>
                      <w:szCs w:val="20"/>
                    </w:rPr>
                    <w:lastRenderedPageBreak/>
                    <w:t>interpretation of mixing is necessary to achieve a greater understanding of nanoparticle synthesis, which can be quantified in terms of shear rates and viscosities. Utilizing a novel synthesis method, we employ a wide range of solution viscosities, allowing us to efficiently characterize the effects of mixing on a colloidal nanoparticle organic matrix. In this work we have discovered that conventional syntheses operate in an unstable region where minor mixing fluctuations have noticeable impact on final product. Furthermore, we find stable mixing domains for which size and particle uniformity can be controlled with precision.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5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2287186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Christian Schasel</w:t>
                  </w:r>
                  <w:r w:rsidRPr="0005639F">
                    <w:rPr>
                      <w:rFonts w:ascii="Times New Roman" w:eastAsia="Times New Roman" w:hAnsi="Times New Roman" w:cs="Times New Roman"/>
                      <w:sz w:val="20"/>
                      <w:szCs w:val="20"/>
                      <w:vertAlign w:val="superscript"/>
                    </w:rPr>
                    <w:t>2, 3</w:t>
                  </w:r>
                  <w:r w:rsidRPr="0005639F">
                    <w:rPr>
                      <w:rFonts w:ascii="Times New Roman" w:eastAsia="Times New Roman" w:hAnsi="Times New Roman" w:cs="Times New Roman"/>
                      <w:sz w:val="20"/>
                      <w:szCs w:val="20"/>
                    </w:rPr>
                    <w:t>, Kevin Cross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Richard E. Partch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Clarkson University, Potsdam, NY, United States. </w:t>
                  </w:r>
                  <w:r w:rsidRPr="0005639F">
                    <w:rPr>
                      <w:rFonts w:ascii="Times New Roman" w:eastAsia="Times New Roman" w:hAnsi="Times New Roman" w:cs="Times New Roman"/>
                      <w:sz w:val="20"/>
                      <w:szCs w:val="20"/>
                    </w:rPr>
                    <w:br/>
                    <w:t xml:space="preserve">2. Biomedical Engineering, Rochester Institute of Technology, Holland, NY, United States. </w:t>
                  </w:r>
                  <w:r w:rsidRPr="0005639F">
                    <w:rPr>
                      <w:rFonts w:ascii="Times New Roman" w:eastAsia="Times New Roman" w:hAnsi="Times New Roman" w:cs="Times New Roman"/>
                      <w:sz w:val="20"/>
                      <w:szCs w:val="20"/>
                    </w:rPr>
                    <w:br/>
                    <w:t xml:space="preserve">3. Center for Advanced Materials Processing, Clarkson University,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89" w:anchor="2287186" w:history="1">
                    <w:r w:rsidRPr="0005639F">
                      <w:rPr>
                        <w:rFonts w:ascii="Times New Roman" w:eastAsia="Times New Roman" w:hAnsi="Times New Roman" w:cs="Times New Roman"/>
                        <w:color w:val="0000FF"/>
                        <w:sz w:val="20"/>
                        <w:szCs w:val="20"/>
                        <w:u w:val="single"/>
                      </w:rPr>
                      <w:t>Enhancing copy quality through use of oil-bound charge control agents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amount of engineering put into the design of xerographic toner is often underappreciated. Within a particle ranging from 6-10 micrometers in diameter exists many separate components each responsible for a particular feature of the toner. Toner is designed with many specific properties including: particle size, melting point, charging capability, and releasability. These properties are all manipulated to allow production of thousands of high quality images while requiring minimum maintenance. Key to the placement of the toner particle, and thus the quality of the created copies is the chargeability of toner. This charging is largely directed through use of charge control agents (CCAs). In common manufactory practice, CCAs are included within the polymer substrate of the toner particle itself. In order to possibly augment the charging capability of bulk toner, the possibility of bonding CCAs to silicone oils, added to increase releasability, was explored. The chosen oils contain epoxide groups based on the premise that the phenolic hydroxide groups within the CCAs would react and subsequently form bonds with them.</w:t>
                  </w:r>
                  <w:r w:rsidRPr="0005639F">
                    <w:rPr>
                      <w:rFonts w:ascii="Times New Roman" w:eastAsia="Times New Roman" w:hAnsi="Times New Roman" w:cs="Times New Roman"/>
                      <w:sz w:val="20"/>
                      <w:szCs w:val="20"/>
                    </w:rPr>
                    <w:br/>
                    <w:t>The authors thank the Xerox Corporation for funding and collaboration and the NSF I/UCRC Center for Metamaterials for assistance.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2288433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Dinesh G. Patel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Shea D. Myers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Frank A. Novak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Dorothy A. Carter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The Pennsylvania State University, Hazleton Campus, Hazleton,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190" w:anchor="2288433" w:history="1">
                    <w:r w:rsidRPr="0005639F">
                      <w:rPr>
                        <w:rFonts w:ascii="Times New Roman" w:eastAsia="Times New Roman" w:hAnsi="Times New Roman" w:cs="Times New Roman"/>
                        <w:color w:val="0000FF"/>
                        <w:sz w:val="20"/>
                        <w:szCs w:val="20"/>
                        <w:u w:val="single"/>
                      </w:rPr>
                      <w:t>Toward Near IR Absorbing Photochromic Diarylethenes Using Quinone Building Blocks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Photochromic molecules have been pursued as candidate materials for optical data storage, photoresponsive metal-organic frameworks, targeted drug delivery, sensors, molecular switches, and artificial muscles. Photoswitching is almost always achieved using UV light to drive the photoisomerization in one direction, with visible light affecting the reverse reaction; a thermal pathway to isomerization may also be possible. Diaryethenes (DAEs) are of interest as they are robust and lack a thermal isomerization component; these photochromes alternate between a ring open and a ring closed form, with the ring closing process usually requiring high energy UV light. Efforts are now aimed at pushing the absorption of DAEs into the red and near IR regions of the spectrum, thus allowing the photochromic reactions to occur using visible and near IR light and making them more applicable within a biological context. However, current DAE examples rely on lengthy syntheses and do not allow for further functionalization. We here report an approach utilizing a donor-acceptor type motif employing quinone electron acceptors. The syntheses are relatively short while providing DAEs that are amenable to further modification including the installation of stronger electron acceptors and use as monomers for photoresponsive polymers.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2289177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Wen 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&amp; Biomolecular Science, Clarkson University,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1" w:anchor="2289177" w:history="1">
                    <w:r w:rsidRPr="0005639F">
                      <w:rPr>
                        <w:rFonts w:ascii="Times New Roman" w:eastAsia="Times New Roman" w:hAnsi="Times New Roman" w:cs="Times New Roman"/>
                        <w:color w:val="0000FF"/>
                        <w:sz w:val="20"/>
                        <w:szCs w:val="20"/>
                        <w:u w:val="single"/>
                      </w:rPr>
                      <w:t>The rational design of zwitterionic ligands and zwitterionic MOFs characterization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Metal-organic frameworks (MOFs) are crystalline porous materials consisting of metal ions or clusters coordinated to organic linkers. The applications of MOFs include storage and separations of gases, sensors, catalysis and others. In our research we are focused on the synthesis and characterization of zwitterionic MOF materials. Zwitterions are neutral molecules with positively charged cationic functional group (e.g., pyridinium N atom) and negatively charged functional group (e.g., carboxylate anion). The incorporation of zwitterions in metal-organic frameworks can introduce charged organic surfaces in their cavities leading to intermolecular electrostatic fields. Polarizable guest-molecules such as hydrogen and carbon dioxide are attracted on the electrostatic binding sites, which enhance adsorption properties. Systematic investigations were carried out on the structure-property relationships of MOFs based on zwitterionic ligands. Based on the different zwitterionic ligands as well as the metal ions incorporated to in the structure, new MOF materials with interesting thermal, gas sorption properties and solvent-sensitive properties have been investigated. This presentation will focus on the rational design of ZW ligands and ZW MOFs characterization to understand the structure-property relationships of new MOF materials with potential application for carbon dioxide capture and hydrogen storage.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2289845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Jeremy L. Steinbacher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Jonathan A. Binns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Jamie Hitro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Sabrina Fitzgerald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James J. Rutowski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John Heck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Joseph M. Schnitter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&amp; Biochemistry, Canisius College, Buffalo,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2" w:anchor="2289845" w:history="1">
                    <w:r w:rsidRPr="0005639F">
                      <w:rPr>
                        <w:rFonts w:ascii="Times New Roman" w:eastAsia="Times New Roman" w:hAnsi="Times New Roman" w:cs="Times New Roman"/>
                        <w:color w:val="0000FF"/>
                        <w:sz w:val="20"/>
                        <w:szCs w:val="20"/>
                        <w:u w:val="single"/>
                      </w:rPr>
                      <w:t xml:space="preserve">Toward a Multifunctional </w:t>
                    </w:r>
                    <w:r w:rsidRPr="0005639F">
                      <w:rPr>
                        <w:rFonts w:ascii="Times New Roman" w:eastAsia="Times New Roman" w:hAnsi="Times New Roman" w:cs="Times New Roman"/>
                        <w:color w:val="0000FF"/>
                        <w:sz w:val="20"/>
                        <w:szCs w:val="20"/>
                        <w:u w:val="single"/>
                        <w:vertAlign w:val="superscript"/>
                      </w:rPr>
                      <w:t>19</w:t>
                    </w:r>
                    <w:r w:rsidRPr="0005639F">
                      <w:rPr>
                        <w:rFonts w:ascii="Times New Roman" w:eastAsia="Times New Roman" w:hAnsi="Times New Roman" w:cs="Times New Roman"/>
                        <w:color w:val="0000FF"/>
                        <w:sz w:val="20"/>
                        <w:szCs w:val="20"/>
                        <w:u w:val="single"/>
                      </w:rPr>
                      <w:t>F MRI Contrast Agent Based on Mesoporous Silica Nanoparticles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Novel drug-delivery agents are needed to overcome the limitations of systemic toxicity of traditional chemotherapeutics, and an even more powerful paradigm combines delivery and imaging into one agent. One potential platform for such an agent is nano- or microparticles consisting of mesoporous silica, a well-characterized material with minimal toxicity and with great flexibility for chemical functionalization. Much progress has been made using porous silica particles as multifunctional drug-delivery agents, enabling combined delivery and imaging by incorporating contrast agents for optical detection, PET, and proton MRI. One imaging modality not yet combined with porous particles is </w:t>
                  </w:r>
                  <w:r w:rsidRPr="0005639F">
                    <w:rPr>
                      <w:rFonts w:ascii="Times New Roman" w:eastAsia="Times New Roman" w:hAnsi="Times New Roman" w:cs="Times New Roman"/>
                      <w:sz w:val="20"/>
                      <w:szCs w:val="20"/>
                      <w:vertAlign w:val="superscript"/>
                    </w:rPr>
                    <w:t>19</w:t>
                  </w:r>
                  <w:r w:rsidRPr="0005639F">
                    <w:rPr>
                      <w:rFonts w:ascii="Times New Roman" w:eastAsia="Times New Roman" w:hAnsi="Times New Roman" w:cs="Times New Roman"/>
                      <w:sz w:val="20"/>
                      <w:szCs w:val="20"/>
                    </w:rPr>
                    <w:t>F MRI.</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Here, we present efforts to prepare multifunctional silica nanoparticles that incorporate fluorine atoms for detection by </w:t>
                  </w:r>
                  <w:r w:rsidRPr="0005639F">
                    <w:rPr>
                      <w:rFonts w:ascii="Times New Roman" w:eastAsia="Times New Roman" w:hAnsi="Times New Roman" w:cs="Times New Roman"/>
                      <w:sz w:val="20"/>
                      <w:szCs w:val="20"/>
                      <w:vertAlign w:val="superscript"/>
                    </w:rPr>
                    <w:t>19</w:t>
                  </w:r>
                  <w:r w:rsidRPr="0005639F">
                    <w:rPr>
                      <w:rFonts w:ascii="Times New Roman" w:eastAsia="Times New Roman" w:hAnsi="Times New Roman" w:cs="Times New Roman"/>
                      <w:sz w:val="20"/>
                      <w:szCs w:val="20"/>
                    </w:rPr>
                    <w:t xml:space="preserve">F MRI. We have synthesized several molecules that contain multiple chemically-equivalent fluorine atoms in the form of trifluoromethyl groups. Importantly, the linkers contain a variety of hydrophilic moieties to promote solvation of the fluorine atoms. We have subsequently immobilized these groups to the pores of mesoporous silica nanoparticles that were PEGylated on their exterior surfaces to promote biocompatibility and water-dispersibility. Lastly, we used </w:t>
                  </w:r>
                  <w:r w:rsidRPr="0005639F">
                    <w:rPr>
                      <w:rFonts w:ascii="Times New Roman" w:eastAsia="Times New Roman" w:hAnsi="Times New Roman" w:cs="Times New Roman"/>
                      <w:sz w:val="20"/>
                      <w:szCs w:val="20"/>
                      <w:vertAlign w:val="superscript"/>
                    </w:rPr>
                    <w:t>19</w:t>
                  </w:r>
                  <w:r w:rsidRPr="0005639F">
                    <w:rPr>
                      <w:rFonts w:ascii="Times New Roman" w:eastAsia="Times New Roman" w:hAnsi="Times New Roman" w:cs="Times New Roman"/>
                      <w:sz w:val="20"/>
                      <w:szCs w:val="20"/>
                    </w:rPr>
                    <w:t xml:space="preserve">F NMR spectroscopy to detect these immobilized fluorine atoms and measure their magnetic relaxation properties, demonstrating proof-of-principle that </w:t>
                  </w:r>
                  <w:r w:rsidRPr="0005639F">
                    <w:rPr>
                      <w:rFonts w:ascii="Times New Roman" w:eastAsia="Times New Roman" w:hAnsi="Times New Roman" w:cs="Times New Roman"/>
                      <w:sz w:val="20"/>
                      <w:szCs w:val="20"/>
                      <w:vertAlign w:val="superscript"/>
                    </w:rPr>
                    <w:t>19</w:t>
                  </w:r>
                  <w:r w:rsidRPr="0005639F">
                    <w:rPr>
                      <w:rFonts w:ascii="Times New Roman" w:eastAsia="Times New Roman" w:hAnsi="Times New Roman" w:cs="Times New Roman"/>
                      <w:sz w:val="20"/>
                      <w:szCs w:val="20"/>
                    </w:rPr>
                    <w:t>F MRI could be used to detect and image these materials. Relaxation rates and signal-to-noise ratios were sufficient to acquire spectra in short amounts of time.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2290735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Dmytro O. Tymoshenko</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SABIC, Albany,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3" w:anchor="2290735" w:history="1">
                    <w:r w:rsidRPr="0005639F">
                      <w:rPr>
                        <w:rFonts w:ascii="Times New Roman" w:eastAsia="Times New Roman" w:hAnsi="Times New Roman" w:cs="Times New Roman"/>
                        <w:b/>
                        <w:bCs/>
                        <w:color w:val="0000FF"/>
                        <w:sz w:val="20"/>
                        <w:szCs w:val="20"/>
                        <w:u w:val="single"/>
                      </w:rPr>
                      <w:t xml:space="preserve">Rheology and Morphology of Carbon Black-Polymer Systems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Carbon black (CB) is widely used in plastic industry as filler providing UV-protection, electrical conductivity and antistatic properties to many products. Performance and processing of the carbon black colored polymers depends on such inherent pigment characteristics as surface chemistry, particle size, ability to aggregate and form agglomerates. Relationships between diverse carbon blacks properties (characterized by NSA, OAN, Raman spectroscopy) and rheological characteristics of filled polymer melts are discussed. Influence of different CBs on nucleation and crystallization processes of semi-crystalline polymers is in scope of this study.</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2290821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Isaac Ramphal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Mary K. Carroll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Ann M. Anderson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Bradford A. Bruno</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Union College, Schenectady, NY, United States. </w:t>
                  </w:r>
                  <w:r w:rsidRPr="0005639F">
                    <w:rPr>
                      <w:rFonts w:ascii="Times New Roman" w:eastAsia="Times New Roman" w:hAnsi="Times New Roman" w:cs="Times New Roman"/>
                      <w:sz w:val="20"/>
                      <w:szCs w:val="20"/>
                    </w:rPr>
                    <w:br/>
                    <w:t xml:space="preserve">2. Mechanical Engineering, Union College, Schenectady,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4" w:anchor="2290821" w:history="1">
                    <w:r w:rsidRPr="0005639F">
                      <w:rPr>
                        <w:rFonts w:ascii="Times New Roman" w:eastAsia="Times New Roman" w:hAnsi="Times New Roman" w:cs="Times New Roman"/>
                        <w:color w:val="0000FF"/>
                        <w:sz w:val="20"/>
                        <w:szCs w:val="20"/>
                        <w:u w:val="single"/>
                      </w:rPr>
                      <w:t>Catalytic testing of aerogels for applications in the after-treatment of automotive exhaust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high surface area, porosity and thermal stability of silica and alumina aerogels render these materials attractive for applications in heterogeneous catalysis. Incorporation of first-row transition metals into aerogel matrices produces catalytically active sites dispersed throughout the high-surface-area matrix. In this work, a catalytic testbed is employed to demonstrate the potential of aerogel materials for automotive pollution mitigation applications. Aerogels produced through a rapid supercritical extraction (RSCE) process are placed within the testbed chamber and exposed to simulated automotive exhaust. These RSCE aerogels demonstrate promise as heterogeneous catalysts for the potential replacement of Pt, Pd and Rh in catalytic converters for automotive exhaust stream pollution mitigation. A description of the testbed will be presented, along with results of testing of catalytic aerogels. The effects on catalytic performance of the choice of transition metal, aerogel matrix type and support structure employed will be discussed. For example, copper-alumina aerogel powder catalyzes the conversion of &gt;99% of propane at temperatures greater than 674</w:t>
                  </w:r>
                  <w:r w:rsidRPr="0005639F">
                    <w:rPr>
                      <w:rFonts w:ascii="Times New Roman" w:eastAsia="Times New Roman" w:hAnsi="Times New Roman" w:cs="Times New Roman"/>
                      <w:sz w:val="20"/>
                      <w:szCs w:val="20"/>
                      <w:vertAlign w:val="superscript"/>
                    </w:rPr>
                    <w:t>o</w:t>
                  </w:r>
                  <w:r w:rsidRPr="0005639F">
                    <w:rPr>
                      <w:rFonts w:ascii="Times New Roman" w:eastAsia="Times New Roman" w:hAnsi="Times New Roman" w:cs="Times New Roman"/>
                      <w:sz w:val="20"/>
                      <w:szCs w:val="20"/>
                    </w:rPr>
                    <w:t>C, &gt;99% of NO at temperatures greater than 465</w:t>
                  </w:r>
                  <w:r w:rsidRPr="0005639F">
                    <w:rPr>
                      <w:rFonts w:ascii="Times New Roman" w:eastAsia="Times New Roman" w:hAnsi="Times New Roman" w:cs="Times New Roman"/>
                      <w:sz w:val="20"/>
                      <w:szCs w:val="20"/>
                      <w:vertAlign w:val="superscript"/>
                    </w:rPr>
                    <w:t>o</w:t>
                  </w:r>
                  <w:r w:rsidRPr="0005639F">
                    <w:rPr>
                      <w:rFonts w:ascii="Times New Roman" w:eastAsia="Times New Roman" w:hAnsi="Times New Roman" w:cs="Times New Roman"/>
                      <w:sz w:val="20"/>
                      <w:szCs w:val="20"/>
                    </w:rPr>
                    <w:t>C and 100% of CO at temperatures greater than 385</w:t>
                  </w:r>
                  <w:r w:rsidRPr="0005639F">
                    <w:rPr>
                      <w:rFonts w:ascii="Times New Roman" w:eastAsia="Times New Roman" w:hAnsi="Times New Roman" w:cs="Times New Roman"/>
                      <w:sz w:val="20"/>
                      <w:szCs w:val="20"/>
                      <w:vertAlign w:val="superscript"/>
                    </w:rPr>
                    <w:t>o</w:t>
                  </w:r>
                  <w:r w:rsidRPr="0005639F">
                    <w:rPr>
                      <w:rFonts w:ascii="Times New Roman" w:eastAsia="Times New Roman" w:hAnsi="Times New Roman" w:cs="Times New Roman"/>
                      <w:sz w:val="20"/>
                      <w:szCs w:val="20"/>
                    </w:rPr>
                    <w:t>C.</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2290964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Ryan Beams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Luiz Gustavo Cancado</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Ado Jorio</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 Nick Vamivakas</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Lukas Novotny</w:t>
                  </w:r>
                  <w:r w:rsidRPr="0005639F">
                    <w:rPr>
                      <w:rFonts w:ascii="Times New Roman" w:eastAsia="Times New Roman" w:hAnsi="Times New Roman" w:cs="Times New Roman"/>
                      <w:sz w:val="20"/>
                      <w:szCs w:val="20"/>
                      <w:vertAlign w:val="superscript"/>
                    </w:rPr>
                    <w:t>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National Institute of Standards and Technology, Gaithersburg, MD, United States. </w:t>
                  </w:r>
                  <w:r w:rsidRPr="0005639F">
                    <w:rPr>
                      <w:rFonts w:ascii="Times New Roman" w:eastAsia="Times New Roman" w:hAnsi="Times New Roman" w:cs="Times New Roman"/>
                      <w:sz w:val="20"/>
                      <w:szCs w:val="20"/>
                    </w:rPr>
                    <w:br/>
                    <w:t xml:space="preserve">2. Universidade Federal de Minas Gerais, Belo Horizonte, Brazil. </w:t>
                  </w:r>
                  <w:r w:rsidRPr="0005639F">
                    <w:rPr>
                      <w:rFonts w:ascii="Times New Roman" w:eastAsia="Times New Roman" w:hAnsi="Times New Roman" w:cs="Times New Roman"/>
                      <w:sz w:val="20"/>
                      <w:szCs w:val="20"/>
                    </w:rPr>
                    <w:br/>
                    <w:t xml:space="preserve">3. University of Rochester, Rochester, NY, United States. </w:t>
                  </w:r>
                  <w:r w:rsidRPr="0005639F">
                    <w:rPr>
                      <w:rFonts w:ascii="Times New Roman" w:eastAsia="Times New Roman" w:hAnsi="Times New Roman" w:cs="Times New Roman"/>
                      <w:sz w:val="20"/>
                      <w:szCs w:val="20"/>
                    </w:rPr>
                    <w:br/>
                    <w:t xml:space="preserve">4. ETH Zurich, Zurich, Switzerland.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5" w:anchor="2290964" w:history="1">
                    <w:r w:rsidRPr="0005639F">
                      <w:rPr>
                        <w:rFonts w:ascii="Times New Roman" w:eastAsia="Times New Roman" w:hAnsi="Times New Roman" w:cs="Times New Roman"/>
                        <w:color w:val="0000FF"/>
                        <w:sz w:val="20"/>
                        <w:szCs w:val="20"/>
                        <w:u w:val="single"/>
                      </w:rPr>
                      <w:t>Tip-Enhanced Raman Mapping of Local Strain in Graphene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While Raman spectroscopy is widely used to characterize strain, it is unable to measure strains at the nano-scale. We demonstrate local strain measurements in graphene by using tip-enhanced Ramans spectroscopy (TERS). We find that a single particle can induce a radial strain over a lateral distance of ~170nm. Figure 1a and 1b show the TERS and topography images of the graphene flake, respectively. The particle is clearly seen in the topography map. The shift in the width and position of the G' band are indicative of local strain (Fig. 1d-e). By treating the particle as a point force on a circular membrane, we find that the strain in the radial direction scales as r^-(2/3), which is in agreement with force displacement measurements. This measurement indicates that TERS can map static strain fields at the nano-scale.</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lastRenderedPageBreak/>
                    <w:br/>
                    <w:t>Reference:</w:t>
                  </w:r>
                  <w:r w:rsidRPr="0005639F">
                    <w:rPr>
                      <w:rFonts w:ascii="Times New Roman" w:eastAsia="Times New Roman" w:hAnsi="Times New Roman" w:cs="Times New Roman"/>
                      <w:sz w:val="20"/>
                      <w:szCs w:val="20"/>
                    </w:rPr>
                    <w:br/>
                    <w:t>R. Beams, L. G. Cancado, A. Jorio, A. N. Vamivakas, L. Novotny Nanotechnology 26,</w:t>
                  </w:r>
                  <w:r w:rsidRPr="0005639F">
                    <w:rPr>
                      <w:rFonts w:ascii="Times New Roman" w:eastAsia="Times New Roman" w:hAnsi="Times New Roman" w:cs="Times New Roman"/>
                      <w:i/>
                      <w:iCs/>
                      <w:sz w:val="20"/>
                      <w:szCs w:val="20"/>
                    </w:rPr>
                    <w:t xml:space="preserve"> 175702 </w:t>
                  </w:r>
                  <w:r w:rsidRPr="0005639F">
                    <w:rPr>
                      <w:rFonts w:ascii="Times New Roman" w:eastAsia="Times New Roman" w:hAnsi="Times New Roman" w:cs="Times New Roman"/>
                      <w:sz w:val="20"/>
                      <w:szCs w:val="20"/>
                    </w:rPr>
                    <w:t>(2015).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2291842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Liliana M. Karam</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Kaitlin J. Coopersmith</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Bruce R. Branchini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Mathew M. Maye</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Connecticut Coll, New London, CT, United States. </w:t>
                  </w:r>
                  <w:r w:rsidRPr="0005639F">
                    <w:rPr>
                      <w:rFonts w:ascii="Times New Roman" w:eastAsia="Times New Roman" w:hAnsi="Times New Roman" w:cs="Times New Roman"/>
                      <w:sz w:val="20"/>
                      <w:szCs w:val="20"/>
                    </w:rPr>
                    <w:br/>
                    <w:t xml:space="preserve">2. Chemistry, Syracuse University, Syracuse, NY, United States. </w:t>
                  </w:r>
                  <w:r w:rsidRPr="0005639F">
                    <w:rPr>
                      <w:rFonts w:ascii="Times New Roman" w:eastAsia="Times New Roman" w:hAnsi="Times New Roman" w:cs="Times New Roman"/>
                      <w:sz w:val="20"/>
                      <w:szCs w:val="20"/>
                    </w:rPr>
                    <w:br/>
                    <w:t xml:space="preserve">3. Department of Chemistry, Syracuse University, Syracuse, NY, United States. </w:t>
                  </w:r>
                  <w:r w:rsidRPr="0005639F">
                    <w:rPr>
                      <w:rFonts w:ascii="Times New Roman" w:eastAsia="Times New Roman" w:hAnsi="Times New Roman" w:cs="Times New Roman"/>
                      <w:sz w:val="20"/>
                      <w:szCs w:val="20"/>
                    </w:rPr>
                    <w:br/>
                    <w:t xml:space="preserve">4.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6" w:anchor="2291842" w:history="1">
                    <w:r w:rsidRPr="0005639F">
                      <w:rPr>
                        <w:rFonts w:ascii="Times New Roman" w:eastAsia="Times New Roman" w:hAnsi="Times New Roman" w:cs="Times New Roman"/>
                        <w:b/>
                        <w:bCs/>
                        <w:color w:val="0000FF"/>
                        <w:sz w:val="20"/>
                        <w:szCs w:val="20"/>
                        <w:u w:val="single"/>
                      </w:rPr>
                      <w:t>Bioluminescence Resonance Energy Transfer Between Firefly Luciferase Enzymes and Semiconductive Quantum Rods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Semiconductive quantum rods (QRs) have highly tunable optoelectronic properties that are well suited for energy transfer applications. This presentation will focus on the bioluminescence resonance energy transfer (BRET) between Photinus pyralis (Ppy) firefly luciferase and QRs. QRs are excellent energy donors due to their broad absorption profiles and high photostability, but are not generally used as energy acceptors, due to the risk of co-excitation of the donor and acceptor. In our system, the QRs act as energy acceptors, as the bioluminescence excites the donor chemically, as opposed to radiatively. In recent work, we demonstrated efficient BRET with near-infrared (nIR) emitting QDs (</w:t>
                  </w:r>
                  <w:r w:rsidRPr="0005639F">
                    <w:rPr>
                      <w:rFonts w:ascii="Times New Roman" w:eastAsia="Times New Roman" w:hAnsi="Times New Roman" w:cs="Times New Roman"/>
                      <w:i/>
                      <w:iCs/>
                      <w:sz w:val="20"/>
                      <w:szCs w:val="20"/>
                    </w:rPr>
                    <w:t>Nanotechnology</w:t>
                  </w:r>
                  <w:r w:rsidRPr="0005639F">
                    <w:rPr>
                      <w:rFonts w:ascii="Times New Roman" w:eastAsia="Times New Roman" w:hAnsi="Times New Roman" w:cs="Times New Roman"/>
                      <w:sz w:val="20"/>
                      <w:szCs w:val="20"/>
                    </w:rPr>
                    <w:t xml:space="preserve"> 2014, </w:t>
                  </w:r>
                  <w:r w:rsidRPr="0005639F">
                    <w:rPr>
                      <w:rFonts w:ascii="Times New Roman" w:eastAsia="Times New Roman" w:hAnsi="Times New Roman" w:cs="Times New Roman"/>
                      <w:i/>
                      <w:iCs/>
                      <w:sz w:val="20"/>
                      <w:szCs w:val="20"/>
                    </w:rPr>
                    <w:t>25,</w:t>
                  </w:r>
                  <w:r w:rsidRPr="0005639F">
                    <w:rPr>
                      <w:rFonts w:ascii="Times New Roman" w:eastAsia="Times New Roman" w:hAnsi="Times New Roman" w:cs="Times New Roman"/>
                      <w:sz w:val="20"/>
                      <w:szCs w:val="20"/>
                    </w:rPr>
                    <w:t xml:space="preserve"> 495606). The nIR QDs are of great interest for biomedical imaging, as the light emitted in that region is both absorbed and scattered less by soft tissues. Additionally, we have observed BRET ratios exceeding 40 in red-emitting QRs with rod-in-rod microstructures (</w:t>
                  </w:r>
                  <w:r w:rsidRPr="0005639F">
                    <w:rPr>
                      <w:rFonts w:ascii="Times New Roman" w:eastAsia="Times New Roman" w:hAnsi="Times New Roman" w:cs="Times New Roman"/>
                      <w:i/>
                      <w:iCs/>
                      <w:sz w:val="20"/>
                      <w:szCs w:val="20"/>
                    </w:rPr>
                    <w:t>Nano Letters</w:t>
                  </w:r>
                  <w:r w:rsidRPr="0005639F">
                    <w:rPr>
                      <w:rFonts w:ascii="Times New Roman" w:eastAsia="Times New Roman" w:hAnsi="Times New Roman" w:cs="Times New Roman"/>
                      <w:sz w:val="20"/>
                      <w:szCs w:val="20"/>
                    </w:rPr>
                    <w:t xml:space="preserve"> 2012, </w:t>
                  </w:r>
                  <w:r w:rsidRPr="0005639F">
                    <w:rPr>
                      <w:rFonts w:ascii="Times New Roman" w:eastAsia="Times New Roman" w:hAnsi="Times New Roman" w:cs="Times New Roman"/>
                      <w:i/>
                      <w:iCs/>
                      <w:sz w:val="20"/>
                      <w:szCs w:val="20"/>
                    </w:rPr>
                    <w:t>12</w:t>
                  </w:r>
                  <w:r w:rsidRPr="0005639F">
                    <w:rPr>
                      <w:rFonts w:ascii="Times New Roman" w:eastAsia="Times New Roman" w:hAnsi="Times New Roman" w:cs="Times New Roman"/>
                      <w:sz w:val="20"/>
                      <w:szCs w:val="20"/>
                    </w:rPr>
                    <w:t>, 3251). Interestingly, we observed a decrease in BRET efficiency in the QR system with high protein loading ([Ppy]:[QR]= 40). We have attributed this phenomenon to a preferential protein binding, where initially, at low loading ratios and when BRET is most efficient, Ppy binds to “favorable” defect rich sites near the QR core. These defect sites are lower in energy than other positions on the QR, which results in a red-shift in the BRET signal. As the loading is increased, proteins bind to other, less favorable locations, resulting in a decrease in the BRET ratio. These results were analyzed with thermal gravimetric analysis, Fourier transform infrared spectroscopy, UV-visible and fluorescence spectroscopy. The implications of these studies will be discussed. This work was supported by the AFOSR (FA9550-10-1-0033).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2291847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AUTHORS (FIRST NAME, LAST NAME): </w:t>
                  </w:r>
                  <w:r w:rsidRPr="0005639F">
                    <w:rPr>
                      <w:rFonts w:ascii="Times New Roman" w:eastAsia="Times New Roman" w:hAnsi="Times New Roman" w:cs="Times New Roman"/>
                      <w:sz w:val="20"/>
                      <w:szCs w:val="20"/>
                      <w:u w:val="single"/>
                    </w:rPr>
                    <w:t>Laxmikant Pathade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Tennyson L. Doane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Rahiem D. Slaton</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Patrick Lutz</w:t>
                  </w:r>
                  <w:r w:rsidRPr="0005639F">
                    <w:rPr>
                      <w:rFonts w:ascii="Times New Roman" w:eastAsia="Times New Roman" w:hAnsi="Times New Roman" w:cs="Times New Roman"/>
                      <w:sz w:val="20"/>
                      <w:szCs w:val="20"/>
                      <w:vertAlign w:val="superscript"/>
                    </w:rPr>
                    <w:t>5</w:t>
                  </w:r>
                  <w:r w:rsidRPr="0005639F">
                    <w:rPr>
                      <w:rFonts w:ascii="Times New Roman" w:eastAsia="Times New Roman" w:hAnsi="Times New Roman" w:cs="Times New Roman"/>
                      <w:sz w:val="20"/>
                      <w:szCs w:val="20"/>
                    </w:rPr>
                    <w:t>, Mathew M. Maye</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Syracuse, NY, United States. </w:t>
                  </w:r>
                  <w:r w:rsidRPr="0005639F">
                    <w:rPr>
                      <w:rFonts w:ascii="Times New Roman" w:eastAsia="Times New Roman" w:hAnsi="Times New Roman" w:cs="Times New Roman"/>
                      <w:sz w:val="20"/>
                      <w:szCs w:val="20"/>
                    </w:rPr>
                    <w:br/>
                    <w:t xml:space="preserve">2. Department of Chemistry, Syracuse University, Syracuse, NY, United States. </w:t>
                  </w:r>
                  <w:r w:rsidRPr="0005639F">
                    <w:rPr>
                      <w:rFonts w:ascii="Times New Roman" w:eastAsia="Times New Roman" w:hAnsi="Times New Roman" w:cs="Times New Roman"/>
                      <w:sz w:val="20"/>
                      <w:szCs w:val="20"/>
                    </w:rPr>
                    <w:br/>
                    <w:t xml:space="preserve">3. Chemistry, Syracuse University, Syracuse, NY, United States. </w:t>
                  </w:r>
                  <w:r w:rsidRPr="0005639F">
                    <w:rPr>
                      <w:rFonts w:ascii="Times New Roman" w:eastAsia="Times New Roman" w:hAnsi="Times New Roman" w:cs="Times New Roman"/>
                      <w:sz w:val="20"/>
                      <w:szCs w:val="20"/>
                    </w:rPr>
                    <w:br/>
                    <w:t xml:space="preserve">4. Chemistry, Syracuse University, Syracuse, NY, United States. </w:t>
                  </w:r>
                  <w:r w:rsidRPr="0005639F">
                    <w:rPr>
                      <w:rFonts w:ascii="Times New Roman" w:eastAsia="Times New Roman" w:hAnsi="Times New Roman" w:cs="Times New Roman"/>
                      <w:sz w:val="20"/>
                      <w:szCs w:val="20"/>
                    </w:rPr>
                    <w:br/>
                    <w:t xml:space="preserve">5. Chemistry, Syracuse University, Manlius,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7" w:anchor="2291847" w:history="1">
                    <w:r w:rsidRPr="0005639F">
                      <w:rPr>
                        <w:rFonts w:ascii="Times New Roman" w:eastAsia="Times New Roman" w:hAnsi="Times New Roman" w:cs="Times New Roman"/>
                        <w:color w:val="0000FF"/>
                        <w:sz w:val="20"/>
                        <w:szCs w:val="20"/>
                        <w:u w:val="single"/>
                      </w:rPr>
                      <w:t>Synthesis and processing of core/alloy nanoparticles with stainless interfaces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In this presentation we describe our work related to the synthesis and processing of core/alloy nanoparticles with stainless interfaces. We recently described the synthesis of stainless nanoparticles for the first time (Wu et al., </w:t>
                  </w:r>
                  <w:r w:rsidRPr="0005639F">
                    <w:rPr>
                      <w:rFonts w:ascii="Times New Roman" w:eastAsia="Times New Roman" w:hAnsi="Times New Roman" w:cs="Times New Roman"/>
                      <w:i/>
                      <w:iCs/>
                      <w:sz w:val="20"/>
                      <w:szCs w:val="20"/>
                    </w:rPr>
                    <w:t xml:space="preserve">Small </w:t>
                  </w:r>
                  <w:r w:rsidRPr="0005639F">
                    <w:rPr>
                      <w:rFonts w:ascii="Times New Roman" w:eastAsia="Times New Roman" w:hAnsi="Times New Roman" w:cs="Times New Roman"/>
                      <w:sz w:val="20"/>
                      <w:szCs w:val="20"/>
                    </w:rPr>
                    <w:t xml:space="preserve">2014, </w:t>
                  </w:r>
                  <w:r w:rsidRPr="0005639F">
                    <w:rPr>
                      <w:rFonts w:ascii="Times New Roman" w:eastAsia="Times New Roman" w:hAnsi="Times New Roman" w:cs="Times New Roman"/>
                      <w:i/>
                      <w:iCs/>
                      <w:sz w:val="20"/>
                      <w:szCs w:val="20"/>
                    </w:rPr>
                    <w:t>10</w:t>
                  </w:r>
                  <w:r w:rsidRPr="0005639F">
                    <w:rPr>
                      <w:rFonts w:ascii="Times New Roman" w:eastAsia="Times New Roman" w:hAnsi="Times New Roman" w:cs="Times New Roman"/>
                      <w:sz w:val="20"/>
                      <w:szCs w:val="20"/>
                    </w:rPr>
                    <w:t>, 271) using a Fe/FeCr model. Here, we focus on the extension of that approach towards the preparation of Fe/FeCrNi and Fe/FeNi nanoparticles. The Fe/FeCr particles show a unique morphological transformation that is induced by surface oxidation, and alloy interdiffusion, which results in a novel and stable core-void-shell morphology. In particular, the Fe/FeNi is highly tunable, magnetic, and can resist oxidation. The composition, alloying, and oxidation states were probed via XRD and XPS, while the alloying and void formation was observed by HRTEM-EDS. The Kirkendall diffusion based mechanism for growth and void coalescence will be discussed, as well as the use of these nanoparticles for gas absorption, catalysis, and stainless coatings. We thank the NSF for support of this project (DMR-1410569).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2292163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Jay Tinklepaugh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Mathew M. Maye</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Baldwinsville, NY, United States. </w:t>
                  </w:r>
                  <w:r w:rsidRPr="0005639F">
                    <w:rPr>
                      <w:rFonts w:ascii="Times New Roman" w:eastAsia="Times New Roman" w:hAnsi="Times New Roman" w:cs="Times New Roman"/>
                      <w:sz w:val="20"/>
                      <w:szCs w:val="20"/>
                    </w:rPr>
                    <w:br/>
                    <w:t xml:space="preserve">2. Department of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8" w:anchor="2292163" w:history="1">
                    <w:r w:rsidRPr="0005639F">
                      <w:rPr>
                        <w:rFonts w:ascii="Times New Roman" w:eastAsia="Times New Roman" w:hAnsi="Times New Roman" w:cs="Times New Roman"/>
                        <w:color w:val="0000FF"/>
                        <w:sz w:val="20"/>
                        <w:szCs w:val="20"/>
                        <w:u w:val="single"/>
                      </w:rPr>
                      <w:t>Functionalization of Gold Nanoparticles with Smart Polymers for Controllable Self-Assembling Systems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functionalization of gold nanoparticles with smart polymers has a diverse range of applications in drug delivery, sensing, and self-assembly. Smart polymers are specifically designed to respond to select changes in temperature, pH, chemical environment or other external stimuli. We recently demonstrated that thermally responsive co-polymers can be used to regulate DNA-mediated nanoparticle assembly (</w:t>
                  </w:r>
                  <w:r w:rsidRPr="0005639F">
                    <w:rPr>
                      <w:rFonts w:ascii="Times New Roman" w:eastAsia="Times New Roman" w:hAnsi="Times New Roman" w:cs="Times New Roman"/>
                      <w:i/>
                      <w:iCs/>
                      <w:sz w:val="20"/>
                      <w:szCs w:val="20"/>
                    </w:rPr>
                    <w:t>ACS Nano</w:t>
                  </w:r>
                  <w:r w:rsidRPr="0005639F">
                    <w:rPr>
                      <w:rFonts w:ascii="Times New Roman" w:eastAsia="Times New Roman" w:hAnsi="Times New Roman" w:cs="Times New Roman"/>
                      <w:sz w:val="20"/>
                      <w:szCs w:val="20"/>
                    </w:rPr>
                    <w:t xml:space="preserve"> 2013, </w:t>
                  </w:r>
                  <w:r w:rsidRPr="0005639F">
                    <w:rPr>
                      <w:rFonts w:ascii="Times New Roman" w:eastAsia="Times New Roman" w:hAnsi="Times New Roman" w:cs="Times New Roman"/>
                      <w:i/>
                      <w:iCs/>
                      <w:sz w:val="20"/>
                      <w:szCs w:val="20"/>
                    </w:rPr>
                    <w:t>7</w:t>
                  </w:r>
                  <w:r w:rsidRPr="0005639F">
                    <w:rPr>
                      <w:rFonts w:ascii="Times New Roman" w:eastAsia="Times New Roman" w:hAnsi="Times New Roman" w:cs="Times New Roman"/>
                      <w:sz w:val="20"/>
                      <w:szCs w:val="20"/>
                    </w:rPr>
                    <w:t>, 7011), and thermal aggregation (</w:t>
                  </w:r>
                  <w:r w:rsidRPr="0005639F">
                    <w:rPr>
                      <w:rFonts w:ascii="Times New Roman" w:eastAsia="Times New Roman" w:hAnsi="Times New Roman" w:cs="Times New Roman"/>
                      <w:i/>
                      <w:iCs/>
                      <w:sz w:val="20"/>
                      <w:szCs w:val="20"/>
                    </w:rPr>
                    <w:t>Langmuir</w:t>
                  </w:r>
                  <w:r w:rsidRPr="0005639F">
                    <w:rPr>
                      <w:rFonts w:ascii="Times New Roman" w:eastAsia="Times New Roman" w:hAnsi="Times New Roman" w:cs="Times New Roman"/>
                      <w:sz w:val="20"/>
                      <w:szCs w:val="20"/>
                    </w:rPr>
                    <w:t xml:space="preserve"> 2013, </w:t>
                  </w:r>
                  <w:r w:rsidRPr="0005639F">
                    <w:rPr>
                      <w:rFonts w:ascii="Times New Roman" w:eastAsia="Times New Roman" w:hAnsi="Times New Roman" w:cs="Times New Roman"/>
                      <w:i/>
                      <w:iCs/>
                      <w:sz w:val="20"/>
                      <w:szCs w:val="20"/>
                    </w:rPr>
                    <w:t>29</w:t>
                  </w:r>
                  <w:r w:rsidRPr="0005639F">
                    <w:rPr>
                      <w:rFonts w:ascii="Times New Roman" w:eastAsia="Times New Roman" w:hAnsi="Times New Roman" w:cs="Times New Roman"/>
                      <w:sz w:val="20"/>
                      <w:szCs w:val="20"/>
                    </w:rPr>
                    <w:t>, 15217), and in this presentation we describe recent work using pH sensitive materials. Using the well understood atom transfer radical polymerization mechanism, triblock copolymers were synthesized from monomers with amide, carboxylic acid, and pyridyl functional groups. The resulting copolymers pN-isopropylacrylamide-co-pAcrylamide-co-pAcrylic Acid and pN-isopropylacrylamide-co-pAcrylamide-co-p4’vinylpyridene are sensitive to changes in temperature and pH. Ultraviolet-visible light spectroscopy and dynamic light scattering was used for temperature and pH effect studies and H-NMR for structural determination. Dynamic light scattering and zeta analysis shows pN-isopropylacrylamide-co-pAcrylamide-co-pAcrylic Acid is negatively charged and pN-isopropylacrylamide-co-pAcrylamide-co-p4’vinylpyridene is positively charged with the magnitude of the charges dependent on each polymers pKa profile. After the polymers were designed, synthesized, and characterized they were used to functionalize gold nanoparticles, which results in smart nanoparticles. Results indicate that functionalization was successful and that ‘smart’ characteristics are retained, with changes in temperature and pH affecting the surface plasmon resonance of the particles. When the oppositely charged systems were combined we observed unique assembly profiles via UV-</w:t>
                  </w:r>
                  <w:r w:rsidRPr="0005639F">
                    <w:rPr>
                      <w:rFonts w:ascii="Times New Roman" w:eastAsia="Times New Roman" w:hAnsi="Times New Roman" w:cs="Times New Roman"/>
                      <w:sz w:val="20"/>
                      <w:szCs w:val="20"/>
                    </w:rPr>
                    <w:lastRenderedPageBreak/>
                    <w:t>vis. Studies are ongoing to determine whether this assembly is guided by electrostatic interactions and if it can be controlled and modified via changing pH. We thank the NSF for support of this work via a IGERT training grant (DGE-1068780).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6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2292234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Alisha J. Lewis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Tennyson L. Doane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Mark Bowick</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Mathew M. Maye</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Brea , CA, United States. </w:t>
                  </w:r>
                  <w:r w:rsidRPr="0005639F">
                    <w:rPr>
                      <w:rFonts w:ascii="Times New Roman" w:eastAsia="Times New Roman" w:hAnsi="Times New Roman" w:cs="Times New Roman"/>
                      <w:sz w:val="20"/>
                      <w:szCs w:val="20"/>
                    </w:rPr>
                    <w:br/>
                    <w:t xml:space="preserve">2. Department of Chemistry, Syracuse University, Syracuse, NY, United States. </w:t>
                  </w:r>
                  <w:r w:rsidRPr="0005639F">
                    <w:rPr>
                      <w:rFonts w:ascii="Times New Roman" w:eastAsia="Times New Roman" w:hAnsi="Times New Roman" w:cs="Times New Roman"/>
                      <w:sz w:val="20"/>
                      <w:szCs w:val="20"/>
                    </w:rPr>
                    <w:br/>
                    <w:t xml:space="preserve">3. Physics, Syracuse Univeristy , Syracuse ,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199" w:anchor="2292234" w:history="1">
                    <w:r w:rsidRPr="0005639F">
                      <w:rPr>
                        <w:rFonts w:ascii="Times New Roman" w:eastAsia="Times New Roman" w:hAnsi="Times New Roman" w:cs="Times New Roman"/>
                        <w:b/>
                        <w:bCs/>
                        <w:color w:val="0000FF"/>
                        <w:sz w:val="20"/>
                        <w:szCs w:val="20"/>
                        <w:u w:val="single"/>
                      </w:rPr>
                      <w:t>Assembling Discrete Nanoparticle Clusters via Weakly Interacting DNA Linkages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Research on biomimetic self-assembly at the nanoscale focuses on fundamental understanding and synthetic manipulations of the interaction energy between nanoscale objects. In this work, we investigate the hypothesis that self-assembly of DNA-mediated gold nanoparticles (5-50nm) into discrete nanoparticle clusters can be precisely controlled by the alteration of these energies. Specifically, this can be achieved by altering the assembly parameters such as the nanoparticle ratio, DNA binding sequence, assembly time and assembly temperature. Gold nanoparticles of the same size (12nm ± 2nm) were studied via changes to the complementary recognition sequence length (6bp-15bp). Results indicate that using DNA linkages of only 6bp, slowed the assembly kinetics and facilitated the highest population of discrete clusters. Further studies showed that varying the incubation temperature from 15°C to 25°C also controlled cluster formation. Nanocluster assemblies were subsequently isolated and studied primarily by purification via sucrose gradient ultracentrifugation and subsequently analyzed by further characterization methods. Dynamic light scattering (DLS) was employed to measure the DNA-mediated nanoparticle clusters hydrodynamic diameter, while observed cluster morphology was probed with transmission electron microscopy (TEM). The experimental results suggest using a 6bp DNA linker strand with short assembly time and temperature of 15°C are the optimal conditions for discrete cluster assembly. Further studies involving two different sized nanoparticles will be discussed. We thank the AFOSR for partial support of this project (FA9550-10-1-0033), and the NSF for support via an IGERT training grant (DGE-1068780).</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7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2292276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Ian M. Walton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Jason B. Benedict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Jordan M. Cox</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Chemistry, University at Buffalo, Buffalo,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0" w:anchor="2292276" w:history="1">
                    <w:r w:rsidRPr="0005639F">
                      <w:rPr>
                        <w:rFonts w:ascii="Times New Roman" w:eastAsia="Times New Roman" w:hAnsi="Times New Roman" w:cs="Times New Roman"/>
                        <w:color w:val="0000FF"/>
                        <w:sz w:val="20"/>
                        <w:szCs w:val="20"/>
                        <w:u w:val="single"/>
                      </w:rPr>
                      <w:t>Stimuli-responsive metal-organic frameworks: From new materials to new methods of characterization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Metal-organic frameworks (MOFs) remain an active and expanding area of research given the diverse and numerous potential applications including chemical separations, gas storage, sensing, and drug deliver. Next-generation MOFs incorporate stimuli responsive moieties into the framework to enable external control over the size and functionality of the void spaces within the frameworks. Herein we report the design, synthesis and characterization of new photochromic diarylethene-based linkers and subsequent photo-responsive MOFs. The photo-responsive frameworks exhibit a strong colorimetric response upon exposure to an appropriate wavelength of light. Interestingly, the cycloreversion (ring-opening) reaction is entirely thermally driven in the solid-state, whereas the free ligand exhibits bi-directional photoswitching in solution. The presentation will also include recent results of in situ single crystal X-ray diffraction (iSCXRD) experiments performed using a novel environmental control cell developed in our laboratory that will allow the structural dynamics occurring in these materials to be measured under ‘real world’ conditions.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7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2292477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 Konesky</w:t>
                  </w:r>
                  <w:r w:rsidRPr="0005639F">
                    <w:rPr>
                      <w:rFonts w:ascii="Times New Roman" w:eastAsia="Times New Roman" w:hAnsi="Times New Roman" w:cs="Times New Roman"/>
                      <w:sz w:val="20"/>
                      <w:szCs w:val="20"/>
                      <w:vertAlign w:val="superscript"/>
                    </w:rPr>
                    <w:t>1, 2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National NanoTech, Inc., Hampton Bays, NY, United States. </w:t>
                  </w:r>
                  <w:r w:rsidRPr="0005639F">
                    <w:rPr>
                      <w:rFonts w:ascii="Times New Roman" w:eastAsia="Times New Roman" w:hAnsi="Times New Roman" w:cs="Times New Roman"/>
                      <w:sz w:val="20"/>
                      <w:szCs w:val="20"/>
                    </w:rPr>
                    <w:br/>
                    <w:t xml:space="preserve">2. Guest User, Center for Functional Nanomaterials, Brookhaven National Lab., Upton,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1" w:anchor="2292477" w:history="1">
                    <w:r w:rsidRPr="0005639F">
                      <w:rPr>
                        <w:rFonts w:ascii="Times New Roman" w:eastAsia="Times New Roman" w:hAnsi="Times New Roman" w:cs="Times New Roman"/>
                        <w:color w:val="0000FF"/>
                        <w:sz w:val="20"/>
                        <w:szCs w:val="20"/>
                        <w:u w:val="single"/>
                      </w:rPr>
                      <w:t>Joining Carbon Nanotubes with Ion Beams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Carbon Nanotubes (CNTs) exhibit a number of exceptional properties, but typically these properties are limited to their axial length and poorly communicated to adjacent CNTs. We demonstrate that a random network of CNTs in the form of a thin film can be converted into an interconnected, interpenetrating network with argon ion bombardment. Enhancement of isotropic thermal conductivity is used as an example. A thin film random network of multi-walled CNTs (MWCNTs) may exhibit a bulk thermal conductivity of only approximately 15 W/m K, even though an isolated MWCNT has a measured thermal conductivity of around 3000 W/m K. This is primarily due to high thermal junction resistance between adjacent or otherwise touching individual MWCNTs. When an argon ion of sufficient energy strikes a junction between two MWCNTs, the site is temporarily disrupted, but then self-heals to form an interpenetrating junction between them. A 5 µm thick MWCNT film, when subjected to argon ion bombardment with an energy of 4 keV and a fluence on the order of 1017 ions/cm2 can then exhibit an isotropic thermal conductivity of 2150 W/m K. Raman spectra of these interconnected MWCNTs show a somewhat higher D to G ratio as compared to unprocessed MWCNTs, in part due to the generation of defects when argon ions strike non-junction regions. We discuss and compare different methods of producing thin and thick MWCNT films and their relation to the ion bombardment process. The effects of increasing ion energy and fluence are also considered.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lastRenderedPageBreak/>
              <w:pict>
                <v:rect id="_x0000_i357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2292658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Peter Frank</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University of New Hampshire, Durham, NH,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2" w:anchor="2292658" w:history="1">
                    <w:r w:rsidRPr="0005639F">
                      <w:rPr>
                        <w:rFonts w:ascii="Times New Roman" w:eastAsia="Times New Roman" w:hAnsi="Times New Roman" w:cs="Times New Roman"/>
                        <w:b/>
                        <w:bCs/>
                        <w:color w:val="0000FF"/>
                        <w:sz w:val="20"/>
                        <w:szCs w:val="20"/>
                        <w:u w:val="single"/>
                      </w:rPr>
                      <w:t>Characterization of Single-Chain Polymer Folding Using Size Exclusion Chromatography with Multiple Modes of Detection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We highlight here recent work from our laboratory on the subject of fabricating nanostructures from single polymer chains. These so-called single-chain nanoparticles (SCNP) are synthesized by inducing intramolecular cross-linking on discrete macromolecules in dilute solution. Among the biggest challenges in this rapidly expanding area of research is reliable and accurate means to characterize this process. Here we review our preferred method of characterization on three distinct constructs of SCNP: size exclusion chromatography (SEC) featuring multiple modes of detection. Multi angle light scattering (MALS) in conjunction with a concentration detector can provide absolute molecular weight data; viscometric detection can provide information about solution size and conformation. Correlation of these data provides a simple and robust way quantify the process by which we fold single polymer coils into architecturally defined unimolecular nanostructures as shown in Figure 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7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2215765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Prajakta S. Dongre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Mark Driscoll</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Jennifer Smith</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Thomas Amidon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Biljana Bujanovic</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Paper and Bioprocess Engineering, SUNY-ESF, Syracuse, NY, United States. </w:t>
                  </w:r>
                  <w:r w:rsidRPr="0005639F">
                    <w:rPr>
                      <w:rFonts w:ascii="Times New Roman" w:eastAsia="Times New Roman" w:hAnsi="Times New Roman" w:cs="Times New Roman"/>
                      <w:sz w:val="20"/>
                      <w:szCs w:val="20"/>
                    </w:rPr>
                    <w:br/>
                    <w:t xml:space="preserve">2. Chemistry, SUNY-ESF, Syracuse, NY, United States. </w:t>
                  </w:r>
                  <w:r w:rsidRPr="0005639F">
                    <w:rPr>
                      <w:rFonts w:ascii="Times New Roman" w:eastAsia="Times New Roman" w:hAnsi="Times New Roman" w:cs="Times New Roman"/>
                      <w:sz w:val="20"/>
                      <w:szCs w:val="20"/>
                    </w:rPr>
                    <w:br/>
                    <w:t xml:space="preserve">3. Sustainable Construction Management and Engineering, SUNY-ESF,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3" w:anchor="2215765" w:history="1">
                    <w:r w:rsidRPr="0005639F">
                      <w:rPr>
                        <w:rFonts w:ascii="Times New Roman" w:eastAsia="Times New Roman" w:hAnsi="Times New Roman" w:cs="Times New Roman"/>
                        <w:b/>
                        <w:bCs/>
                        <w:color w:val="0000FF"/>
                        <w:sz w:val="20"/>
                        <w:szCs w:val="20"/>
                        <w:u w:val="single"/>
                      </w:rPr>
                      <w:t xml:space="preserve">Production and characterization of novel green wood adhesives from biorefinery lignin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Wood adhesives are routinely used as bonding agents in over two-thirds of wood processing materials such as particle boards and plywood. One of the widely used adhesive in the wood industry is the phenol-formaldehyde resin. Apart from being petrochemical products and environmentally unfriendly, formaldehyde has also been classified as a carcinogen by the Environmental Protection Agency. Novel green wood adhesive blends produced from biorefinery lignin and commercial furfural are proposed as replacement for phenol-formaldehyde resin.</w:t>
                  </w:r>
                  <w:r w:rsidRPr="0005639F">
                    <w:rPr>
                      <w:rFonts w:ascii="Times New Roman" w:eastAsia="Times New Roman" w:hAnsi="Times New Roman" w:cs="Times New Roman"/>
                      <w:sz w:val="20"/>
                      <w:szCs w:val="20"/>
                    </w:rPr>
                    <w:br/>
                    <w:t xml:space="preserve">During the hot water extraction of sugar maple wood chips over 10% of lignin dissolves in the extract. The extract undergoes membrane separation and the permeate is subjected to acid hydrolysis. The acid hydrolyzed permeate undergoes membrane separation again and the lignin rich retentate from this phase is used to synthesize adhesive blends. Previous studies have shown furfural to be an efficient cross-linking agent for lignin and can replace formaldehyde. The lignin and commercial furfural are subjected to acid catalyzed condensation to produce adhesives. The adhesive blends are applied on glass fibers and wood panels and cured in a hot press for strength testing. A design of experiment was set up to test the effect of different factors such as reaction pH, curing pressure and temperature on the tensile strength (MTS Sintech 1/S), thermal degradation (TGA) molecular weight distribution (SEC). NMR analysis will also be conducted to follow furfural generation </w:t>
                  </w:r>
                  <w:r w:rsidRPr="0005639F">
                    <w:rPr>
                      <w:rFonts w:ascii="Times New Roman" w:eastAsia="Times New Roman" w:hAnsi="Times New Roman" w:cs="Times New Roman"/>
                      <w:i/>
                      <w:iCs/>
                      <w:sz w:val="20"/>
                      <w:szCs w:val="20"/>
                    </w:rPr>
                    <w:t>in situ</w:t>
                  </w:r>
                  <w:r w:rsidRPr="0005639F">
                    <w:rPr>
                      <w:rFonts w:ascii="Times New Roman" w:eastAsia="Times New Roman" w:hAnsi="Times New Roman" w:cs="Times New Roman"/>
                      <w:sz w:val="20"/>
                      <w:szCs w:val="20"/>
                    </w:rPr>
                    <w:t xml:space="preserve">. Lignin-furfural </w:t>
                  </w:r>
                  <w:r w:rsidRPr="0005639F">
                    <w:rPr>
                      <w:rFonts w:ascii="Times New Roman" w:eastAsia="Times New Roman" w:hAnsi="Times New Roman" w:cs="Times New Roman"/>
                      <w:sz w:val="20"/>
                      <w:szCs w:val="20"/>
                    </w:rPr>
                    <w:lastRenderedPageBreak/>
                    <w:t>blends competitive in strength with phenol-formaldehyde resins can be expected to fulfill the need for high value products making the lignocellulosic biorefinery more profitable.</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7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2224346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Sudheera B. Yaparatne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Aria Amirbahman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Civil and Environmental Engineering, Univ of Maine, Orono, ME, United States. </w:t>
                  </w:r>
                  <w:r w:rsidRPr="0005639F">
                    <w:rPr>
                      <w:rFonts w:ascii="Times New Roman" w:eastAsia="Times New Roman" w:hAnsi="Times New Roman" w:cs="Times New Roman"/>
                      <w:sz w:val="20"/>
                      <w:szCs w:val="20"/>
                    </w:rPr>
                    <w:br/>
                    <w:t xml:space="preserve">2. Department of Chemistry, University Of Maine, Orono, ME,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4" w:anchor="2224346" w:history="1">
                    <w:r w:rsidRPr="0005639F">
                      <w:rPr>
                        <w:rFonts w:ascii="Times New Roman" w:eastAsia="Times New Roman" w:hAnsi="Times New Roman" w:cs="Times New Roman"/>
                        <w:color w:val="0000FF"/>
                        <w:sz w:val="20"/>
                        <w:szCs w:val="20"/>
                        <w:u w:val="single"/>
                      </w:rPr>
                      <w:t>The development of immobilized photocatalysts to enhance the degradation of taste- and odor-causing compounds in drinking water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 compliance with the Long Term 2 Enhanced Surface Water Treatment Rule (LT2) introduced by the US Environmental Protection Agency, UV disinfection is one of the options that has gained more interest in public water systems to further reduce microbial contamination in drinking water. Though direct UV photolysis is effective in inactivating pathogenic microorganisms, such as protozoa, it is not very effective with respect to inactivation of viruses and removal of taste and odor causing compounds. Most of these compounds are resistant to conventional water treatments such as coagulation, sedimentation and filtration at very low concentrations. Disinfectants such as Cl</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ClO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and KMnO</w:t>
                  </w:r>
                  <w:r w:rsidRPr="0005639F">
                    <w:rPr>
                      <w:rFonts w:ascii="Times New Roman" w:eastAsia="Times New Roman" w:hAnsi="Times New Roman" w:cs="Times New Roman"/>
                      <w:sz w:val="20"/>
                      <w:szCs w:val="20"/>
                      <w:vertAlign w:val="subscript"/>
                    </w:rPr>
                    <w:t xml:space="preserve">4 </w:t>
                  </w:r>
                  <w:r w:rsidRPr="0005639F">
                    <w:rPr>
                      <w:rFonts w:ascii="Times New Roman" w:eastAsia="Times New Roman" w:hAnsi="Times New Roman" w:cs="Times New Roman"/>
                      <w:sz w:val="20"/>
                      <w:szCs w:val="20"/>
                    </w:rPr>
                    <w:t>are also shown to be ineffective in removing these compounds. Using semiconductor photocatalyst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in the presence of UV radiation is one of the advanced oxidation processes that efficiently degrades them via producing hydroxyl (·OH) radicals. Application of colloidal photocatalyst suspension in a UV water treatment reactor is limited due to difficulties in their separation. The objective of this study is to develop an effective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photocatalyst immobilized on different substrates such as glass, stainless steel and carbon fiber to augment the existing UV systems for degradation of taste and odor compounds. Mesoporous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-SiO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and nitrogen doped-TiO</w:t>
                  </w:r>
                  <w:r w:rsidRPr="0005639F">
                    <w:rPr>
                      <w:rFonts w:ascii="Times New Roman" w:eastAsia="Times New Roman" w:hAnsi="Times New Roman" w:cs="Times New Roman"/>
                      <w:sz w:val="20"/>
                      <w:szCs w:val="20"/>
                      <w:vertAlign w:val="subscript"/>
                    </w:rPr>
                    <w:t xml:space="preserve">2 </w:t>
                  </w:r>
                  <w:r w:rsidRPr="0005639F">
                    <w:rPr>
                      <w:rFonts w:ascii="Times New Roman" w:eastAsia="Times New Roman" w:hAnsi="Times New Roman" w:cs="Times New Roman"/>
                      <w:sz w:val="20"/>
                      <w:szCs w:val="20"/>
                    </w:rPr>
                    <w:t>were immobilized on different substrates, and their efficiencies were assessed using terephthalate, a probe compound, to determine the steady-state ·OH concentrations. Degradation kinetics of an important taste and odor compound, 2-Methylisoborneol (MIB), was studied by headspace solid-phase microextraction (HS-SPME)/gas chromatography–mass spectrometry. Characterization of the catalyst was done using Scanning Electron Microscopy (SEM), BET surface area measurement, Fourier Transform Infrared Spectroscopy (FTIR), X-ray photoelectron spectroscopy (XPS) and X-ray Diffraction (XRD). Development of mesoporous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catalysts following sol-gel method with a controlled hydrolysis and condensation reactions results in photocatalysts with enhanced structural and catalytic properties.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7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2259385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Edurne Gonzalez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Larissa Buttaro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Margaret Frey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Fiber Science,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5" w:anchor="2259385" w:history="1">
                    <w:r w:rsidRPr="0005639F">
                      <w:rPr>
                        <w:rFonts w:ascii="Times New Roman" w:eastAsia="Times New Roman" w:hAnsi="Times New Roman" w:cs="Times New Roman"/>
                        <w:color w:val="0000FF"/>
                        <w:sz w:val="20"/>
                        <w:szCs w:val="20"/>
                        <w:u w:val="single"/>
                      </w:rPr>
                      <w:t>Synthesis and electrospinning of block copolymers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Electrospun polymeric nanofibers are attractive candidates for their use as biosensors due to their small pore size, high porosity and large surface area to volume ratio. When using nanofibers to construct biosensors, fibers with hydrophilic surfaces that are also non-water soluble are desirable. In this work, poly(lactic acid)-</w:t>
                  </w:r>
                  <w:r w:rsidRPr="0005639F">
                    <w:rPr>
                      <w:rFonts w:ascii="Times New Roman" w:eastAsia="Times New Roman" w:hAnsi="Times New Roman" w:cs="Times New Roman"/>
                      <w:i/>
                      <w:iCs/>
                      <w:sz w:val="20"/>
                      <w:szCs w:val="20"/>
                    </w:rPr>
                    <w:t>block</w:t>
                  </w:r>
                  <w:r w:rsidRPr="0005639F">
                    <w:rPr>
                      <w:rFonts w:ascii="Times New Roman" w:eastAsia="Times New Roman" w:hAnsi="Times New Roman" w:cs="Times New Roman"/>
                      <w:sz w:val="20"/>
                      <w:szCs w:val="20"/>
                    </w:rPr>
                    <w:t>-poly(ethylene glycol) block copolymers are synthesized and electrospun together with poly(lactic acid) homopolymer. Phase separation of the block copolymers during electrospinning process leads to the formation of biocompatible, biodegradable, hydrophilic yet non-water soluble fibers suitable for stable and efficient bioanalysis. Nanofibers are characterized by Scanning Electron Microscopy (SEM), Differential Scanning Calorimetry (DSC) and wettability test. Preliminary results on the synthesis of biotin end-functionalized poly(lactic acid)-</w:t>
                  </w:r>
                  <w:r w:rsidRPr="0005639F">
                    <w:rPr>
                      <w:rFonts w:ascii="Times New Roman" w:eastAsia="Times New Roman" w:hAnsi="Times New Roman" w:cs="Times New Roman"/>
                      <w:i/>
                      <w:iCs/>
                      <w:sz w:val="20"/>
                      <w:szCs w:val="20"/>
                    </w:rPr>
                    <w:t>block</w:t>
                  </w:r>
                  <w:r w:rsidRPr="0005639F">
                    <w:rPr>
                      <w:rFonts w:ascii="Times New Roman" w:eastAsia="Times New Roman" w:hAnsi="Times New Roman" w:cs="Times New Roman"/>
                      <w:sz w:val="20"/>
                      <w:szCs w:val="20"/>
                    </w:rPr>
                    <w:t>-poly(ethylene glycol) block copolymers are also present with the final goal to obtain biotin surface functionalized nanofibers.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7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2268709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Brandon J. Tiegs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Geoffrey W. Coates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6" w:anchor="2268709" w:history="1">
                    <w:r w:rsidRPr="0005639F">
                      <w:rPr>
                        <w:rFonts w:ascii="Times New Roman" w:eastAsia="Times New Roman" w:hAnsi="Times New Roman" w:cs="Times New Roman"/>
                        <w:color w:val="0000FF"/>
                        <w:sz w:val="20"/>
                        <w:szCs w:val="20"/>
                        <w:u w:val="single"/>
                      </w:rPr>
                      <w:t>Autocatalytic self-polymerization of biorenewable monomers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Progress toward sustainable materials has encouraged the development polymers based on bio-derived substrates as well as energy-efficient, benign polymerization methods. We report a new polymerization method utilizing the inherent reactivity of functional groups built into self-polymerizable monomers. These monomers are derived from renewable resources and are prepared by ring-expansive carbonylation. Self-polymerization of these monomers is autocatalytic; rapidly produces high molecular weight polymer; and requires no catalyst, solvent, or strict stoichiometric control. The resulting polymers are degradable and also functional due to pendant groups formed during the polymerization. The synthesis, polymerization, characterization, and mechanistic study of a range of substrates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7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2277927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Nidia K. Trejo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Margaret Frey</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Fiber Science and Apparel Design, Cornell University, Ithaca, NY, United States. </w:t>
                  </w:r>
                  <w:r w:rsidRPr="0005639F">
                    <w:rPr>
                      <w:rFonts w:ascii="Times New Roman" w:eastAsia="Times New Roman" w:hAnsi="Times New Roman" w:cs="Times New Roman"/>
                      <w:sz w:val="20"/>
                      <w:szCs w:val="20"/>
                    </w:rPr>
                    <w:br/>
                    <w:t xml:space="preserve">2. Fiber Science and Apparel Design,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7" w:anchor="2277927" w:history="1">
                    <w:r w:rsidRPr="0005639F">
                      <w:rPr>
                        <w:rFonts w:ascii="Times New Roman" w:eastAsia="Times New Roman" w:hAnsi="Times New Roman" w:cs="Times New Roman"/>
                        <w:color w:val="0000FF"/>
                        <w:sz w:val="20"/>
                        <w:szCs w:val="20"/>
                        <w:u w:val="single"/>
                      </w:rPr>
                      <w:t>A comparative study on the preparation and pH dependent durability of nanoparticles loaded on nanomembranes for water treatment applications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 this study carboxylic acid coated iron oxide nanoparticles (CA-Fe</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 xml:space="preserve">4 </w:t>
                  </w:r>
                  <w:r w:rsidRPr="0005639F">
                    <w:rPr>
                      <w:rFonts w:ascii="Times New Roman" w:eastAsia="Times New Roman" w:hAnsi="Times New Roman" w:cs="Times New Roman"/>
                      <w:sz w:val="20"/>
                      <w:szCs w:val="20"/>
                    </w:rPr>
                    <w:t>NPs) were applied to Nylon 6 nanomembranes by three different techniques: 1) simultaneous electrospinning/electrospraying, 2) layer-by-layer (LbL) assembly, and 3) chemical grafting. The purpose of this research was to evaluate the nanoparticle treatment uniformity and durability by each method. CIELAB spectrophotometry, which evaluated the color difference on the membranes revealed that electrospin/spraying and chemical grafting methods produced a uniform NP dispersion. Inductively coupled plasma atomic emission spectroscopy (ICP-AES) results indicated that all methods released particles, however, a substantial amount of particles remained on the membranes. Furthermore, the durability of the treatments is pH dependent, and driven by electrostatic interactions. At the highest release conditions, LbL membranes retained 97.6%, the grafted membranes maintained 98.3%, and the electrospun/electrosprayed membranes maintained 99.2% of the total NP loads after 60 minutes. Potential applications for these membranes can be for assisting with the clean-up of polluted rivers based on the adsorption and magnetic properties of the nanoparticles. Ultimately, few studies have yet to evaluate the durability of NP treatments on fibers for end-use applications although it is currently an issue of high concern.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7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2281335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Sangchul Hwang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Henry Smith</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University of Puerto Rico at Mayagüez, Mayagüez, Puerto Rico, Puerto Rico. </w:t>
                  </w:r>
                  <w:r w:rsidRPr="0005639F">
                    <w:rPr>
                      <w:rFonts w:ascii="Times New Roman" w:eastAsia="Times New Roman" w:hAnsi="Times New Roman" w:cs="Times New Roman"/>
                      <w:sz w:val="20"/>
                      <w:szCs w:val="20"/>
                    </w:rPr>
                    <w:br/>
                    <w:t xml:space="preserve">2. University of the Virgin Islands, St. Thomas, Virgin Islands (U.S.).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8" w:anchor="2281335" w:history="1">
                    <w:r w:rsidRPr="0005639F">
                      <w:rPr>
                        <w:rFonts w:ascii="Times New Roman" w:eastAsia="Times New Roman" w:hAnsi="Times New Roman" w:cs="Times New Roman"/>
                        <w:color w:val="0000FF"/>
                        <w:sz w:val="20"/>
                        <w:szCs w:val="20"/>
                        <w:u w:val="single"/>
                      </w:rPr>
                      <w:t>Engineered pervious layer for pathogen removal during rainwater harvesting</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This study aimed to develop engineered pervious layer (EPL) capable of reducing and/or inactivating pathogens during rooftop rainwater harvesting. Contamination in rainwater is due mostly to urban pollution, bird and reptile waste materials, roof material deterioration, and particulate matter deposition. The presence of pathogens in the harvested rainwater can lead to serious health problems for those exposed to it. Fecal coliforms (FC) were tested in the current study as indicator microorganisms. The EPL was designed to have the structural integrity and hydraulic permeability. For this end, EPLs were made using coarse aggregate with size of 4.75 -9.5 mm, cement from a local supplier, fly ash (FA) from the AES Puerto Rico, and different nanomaterials (nanoFe</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and nanoSiO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Preliminary results showed, in general, that a higher compressive strength was achieved for the EPLs containing nanomaterials than for the control EPL. However, the permeability was lower for the EPLs containing nanomaterials than for the control EPL, although the values fell into the recommended ones. A lower FC inactivation was accomplished with the EPL specimens containing nano-Fe</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than those with the control EPL that developed higher pHs during the experiment. The impact of the additions of other nanomaterials (photocatalytic nanoTiO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and/or biocidal nanoZnO) on FC inactivation by EPL is under investigation and will be included in the presentation. This study was financed in part by the U.S. Department Interior, United States Geological Survey, through the Virgin Islands Water Resources Research Institute.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7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2287272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Wei Wu</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Anting Chen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Renchen Dolma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William Bernier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Wayne E. Jones</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Binghamton University, Binghamton, NY, United States. </w:t>
                  </w:r>
                  <w:r w:rsidRPr="0005639F">
                    <w:rPr>
                      <w:rFonts w:ascii="Times New Roman" w:eastAsia="Times New Roman" w:hAnsi="Times New Roman" w:cs="Times New Roman"/>
                      <w:sz w:val="20"/>
                      <w:szCs w:val="20"/>
                    </w:rPr>
                    <w:br/>
                    <w:t xml:space="preserve">2. Chemistry, State University of New York at Binghamton, Vestal, NY, United States. </w:t>
                  </w:r>
                  <w:r w:rsidRPr="0005639F">
                    <w:rPr>
                      <w:rFonts w:ascii="Times New Roman" w:eastAsia="Times New Roman" w:hAnsi="Times New Roman" w:cs="Times New Roman"/>
                      <w:sz w:val="20"/>
                      <w:szCs w:val="20"/>
                    </w:rPr>
                    <w:br/>
                    <w:t xml:space="preserve">3. Department of Chemistry, State University of New York at Binghamton, Binghamton,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09" w:anchor="2287272" w:history="1">
                    <w:r w:rsidRPr="0005639F">
                      <w:rPr>
                        <w:rFonts w:ascii="Times New Roman" w:eastAsia="Times New Roman" w:hAnsi="Times New Roman" w:cs="Times New Roman"/>
                        <w:b/>
                        <w:bCs/>
                        <w:color w:val="0000FF"/>
                        <w:sz w:val="20"/>
                        <w:szCs w:val="20"/>
                        <w:u w:val="single"/>
                      </w:rPr>
                      <w:t>Fluorescent Conjugated Polyelectrolytes FCPE’s: Synthesis and Function as Metal ion Chemosensors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Fluorescent conjugated polyelectrolytes (FCPEs) have drawn growing attention as chemosensors to detect a variety of charged and uncharged chemical species in both environmental and biological systems. They have good water solubility for aqueous sensory applications and possess intense fluorescence emission by virtue of electrostatic repulsion which prevents the π-π stacking/aggregation of the conjugated backbones. Previously we reported a conjugated polymer, with a terpyridine functional group as the receptor, which has significant sensitivity and selectivity to transition-metal ions in THF. A polyelectrolyte chemosensor that retains similar functionality, but dissolves in water, would be more effective for aqueous applications. A highly emissive FCPE, the </w:t>
                  </w:r>
                  <w:r w:rsidRPr="0005639F">
                    <w:rPr>
                      <w:rFonts w:ascii="Times New Roman" w:eastAsia="Times New Roman" w:hAnsi="Times New Roman" w:cs="Times New Roman"/>
                      <w:b/>
                      <w:bCs/>
                      <w:sz w:val="20"/>
                      <w:szCs w:val="20"/>
                    </w:rPr>
                    <w:t>ttp-PPESO</w:t>
                  </w:r>
                  <w:r w:rsidRPr="0005639F">
                    <w:rPr>
                      <w:rFonts w:ascii="Times New Roman" w:eastAsia="Times New Roman" w:hAnsi="Times New Roman" w:cs="Times New Roman"/>
                      <w:b/>
                      <w:bCs/>
                      <w:sz w:val="20"/>
                      <w:szCs w:val="20"/>
                      <w:vertAlign w:val="subscript"/>
                    </w:rPr>
                    <w:t>3</w:t>
                  </w:r>
                  <w:r w:rsidRPr="0005639F">
                    <w:rPr>
                      <w:rFonts w:ascii="Times New Roman" w:eastAsia="Times New Roman" w:hAnsi="Times New Roman" w:cs="Times New Roman"/>
                      <w:sz w:val="20"/>
                      <w:szCs w:val="20"/>
                    </w:rPr>
                    <w:t xml:space="preserve"> with the phenylene ethynylene thiophene ethynylene polymer (PPETE) backbone and negatively charged sulfonate groups on side chains was designed and synthesized via Sonogashira coupling reaction (</w:t>
                  </w:r>
                  <w:r w:rsidRPr="0005639F">
                    <w:rPr>
                      <w:rFonts w:ascii="Times New Roman" w:eastAsia="Times New Roman" w:hAnsi="Times New Roman" w:cs="Times New Roman"/>
                      <w:b/>
                      <w:bCs/>
                      <w:sz w:val="20"/>
                      <w:szCs w:val="20"/>
                    </w:rPr>
                    <w:t>Scheme 1</w:t>
                  </w:r>
                  <w:r w:rsidRPr="0005639F">
                    <w:rPr>
                      <w:rFonts w:ascii="Times New Roman" w:eastAsia="Times New Roman" w:hAnsi="Times New Roman" w:cs="Times New Roman"/>
                      <w:sz w:val="20"/>
                      <w:szCs w:val="20"/>
                    </w:rPr>
                    <w:t>). It has enhanced fluorescence and improved water solubility. Photophysical characterization including UV-vis spectroscopy, time resolved fluorescence emission, quantum yield determination, and Stern-Volmer analysis have been investigated in order to evaluate the newly constructed FCPE chemosensor.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2287281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Jennifer A. Sidletsky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Brian G. Root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Paul J. G. Goulet</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Biomolecular Science, Clarkson University,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0" w:anchor="2287281" w:history="1">
                    <w:r w:rsidRPr="0005639F">
                      <w:rPr>
                        <w:rFonts w:ascii="Times New Roman" w:eastAsia="Times New Roman" w:hAnsi="Times New Roman" w:cs="Times New Roman"/>
                        <w:b/>
                        <w:bCs/>
                        <w:color w:val="0000FF"/>
                        <w:sz w:val="20"/>
                        <w:szCs w:val="20"/>
                        <w:u w:val="single"/>
                      </w:rPr>
                      <w:t>Synthesis of Alkanethiolate-Protected Metal Nanoparticles via a Single-Phase Method</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 novel method for the single-phase synthesis of organosoluble thiolate-protected nanoparticles of several different metals (Au, Pd, Ag) is presented here. Ion-pair complexes of tetraoctylammonium cation and different metal-halide anions are reacted in toluene with an organosoluble reductant in the presence of alkanethiol. This facile, single-step reaction utilizes stable, well-defined precursor species and yields monodisperse nanoparticles comparable to those produced using multistep, two-phase methods.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2287292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Lina Bian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Kylie Ring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Jennifer A. Sidletsky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Paul J. G. Goulet</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Biomolecular Science, Clarkson University,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1" w:anchor="2287292" w:history="1">
                    <w:r w:rsidRPr="0005639F">
                      <w:rPr>
                        <w:rFonts w:ascii="Times New Roman" w:eastAsia="Times New Roman" w:hAnsi="Times New Roman" w:cs="Times New Roman"/>
                        <w:b/>
                        <w:bCs/>
                        <w:color w:val="0000FF"/>
                        <w:sz w:val="20"/>
                        <w:szCs w:val="20"/>
                        <w:u w:val="single"/>
                      </w:rPr>
                      <w:t>Synthesis of Organosoluble Metal Sulfide Nanoparticles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Due to their unique optical and semiconducting properties, metal sulfide nanoparticles are excellent candidate materials for photovoltaic, catalytic, labeling, and sensing applications. In this work, small (1-10 nm) metal sulfide (Ag</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S, PdS, or CdS) nanoparticles were synthesized in toluene at room temperature. Tetraoctylammonium metal complexes of Ag, Pd, or Cd were first prepared and characterized. These complexes were then dissolved in toluene, and aqueous solutions of Na</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S were added, forming biphasic mixtures. Upon phase transfer of the sulfide ion, relatively monodisperse metal sulfide nanoparticles capped with tetraoctylammonium bromide were generated in the toluene phases. In some cases, 1-dodecanethiol was added as an additional stabilizing ligand. UV-visible absorption, fluorescence emission, infrared absorption, and Raman scattering spectroscopies, as well as X-ray diffraction and transmission electron microscopy were used to characterize the synthesized metal sulfide nanoparticles.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2287323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Elham Honarvarfard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Ying Chen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Paul J. G. Goulet</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Biomolecular Science, Clarkson University,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2" w:anchor="2287323" w:history="1">
                    <w:r w:rsidRPr="0005639F">
                      <w:rPr>
                        <w:rFonts w:ascii="Times New Roman" w:eastAsia="Times New Roman" w:hAnsi="Times New Roman" w:cs="Times New Roman"/>
                        <w:b/>
                        <w:bCs/>
                        <w:color w:val="0000FF"/>
                        <w:sz w:val="20"/>
                        <w:szCs w:val="20"/>
                        <w:u w:val="single"/>
                      </w:rPr>
                      <w:t>Triethanolamine-Stabilized Silver Nanoparticles: Synthesis, Characterization, and Application as a Substrate for SERS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 facile method for the preparation of water soluble silver nanoparticles (Ag NPs), using triethanolamine (TEA) as both a reducing agent and a particle stabilizer is reported. The synthesis was studied via changes in reaction temperature, pH, and Ag:TEA ratio. The most promising samples were highly stable, relatively monodisperse (particles ca. 20 nm in diameter), and displayed a strong localized surface plasmon resonance (LSPR) around 410 nm. These samples were employed as substrates for surface-enhanced Raman scattering (SERS) of rhodamine 6G and thiosalicylic acid. SERS measurements were conducted using laser excitation at 514 and 830 nm, and the Ag nanoparticles were found to provide significant enhancement of the Raman scattering of these test analytes.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2288117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Derek B. Corbett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Matthew Zelie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Muhammet Uygut</w:t>
                  </w:r>
                  <w:r w:rsidRPr="0005639F">
                    <w:rPr>
                      <w:rFonts w:ascii="Times New Roman" w:eastAsia="Times New Roman" w:hAnsi="Times New Roman" w:cs="Times New Roman"/>
                      <w:sz w:val="20"/>
                      <w:szCs w:val="20"/>
                      <w:vertAlign w:val="superscript"/>
                    </w:rPr>
                    <w:t>2, 1</w:t>
                  </w:r>
                  <w:r w:rsidRPr="0005639F">
                    <w:rPr>
                      <w:rFonts w:ascii="Times New Roman" w:eastAsia="Times New Roman" w:hAnsi="Times New Roman" w:cs="Times New Roman"/>
                      <w:sz w:val="20"/>
                      <w:szCs w:val="20"/>
                    </w:rPr>
                    <w:t>, Christopher D. Wood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Biljana Bujanovic</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Paper and Bioprocess Engineering, SUNY-ESF, Syracuse, NY, United States. </w:t>
                  </w:r>
                  <w:r w:rsidRPr="0005639F">
                    <w:rPr>
                      <w:rFonts w:ascii="Times New Roman" w:eastAsia="Times New Roman" w:hAnsi="Times New Roman" w:cs="Times New Roman"/>
                      <w:sz w:val="20"/>
                      <w:szCs w:val="20"/>
                    </w:rPr>
                    <w:br/>
                    <w:t xml:space="preserve">2. Firat University, Elaziğ, Elazığ, Turkey.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3" w:anchor="2288117" w:history="1">
                    <w:r w:rsidRPr="0005639F">
                      <w:rPr>
                        <w:rFonts w:ascii="Times New Roman" w:eastAsia="Times New Roman" w:hAnsi="Times New Roman" w:cs="Times New Roman"/>
                        <w:color w:val="0000FF"/>
                        <w:sz w:val="20"/>
                        <w:szCs w:val="20"/>
                        <w:u w:val="single"/>
                      </w:rPr>
                      <w:t>Enhancement of hydrolysability of sugar maple (</w:t>
                    </w:r>
                    <w:r w:rsidRPr="0005639F">
                      <w:rPr>
                        <w:rFonts w:ascii="Times New Roman" w:eastAsia="Times New Roman" w:hAnsi="Times New Roman" w:cs="Times New Roman"/>
                        <w:i/>
                        <w:iCs/>
                        <w:color w:val="0000FF"/>
                        <w:sz w:val="20"/>
                        <w:szCs w:val="20"/>
                        <w:u w:val="single"/>
                      </w:rPr>
                      <w:t>Acer saccharum</w:t>
                    </w:r>
                    <w:r w:rsidRPr="0005639F">
                      <w:rPr>
                        <w:rFonts w:ascii="Times New Roman" w:eastAsia="Times New Roman" w:hAnsi="Times New Roman" w:cs="Times New Roman"/>
                        <w:color w:val="0000FF"/>
                        <w:sz w:val="20"/>
                        <w:szCs w:val="20"/>
                        <w:u w:val="single"/>
                      </w:rPr>
                      <w: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Electron beam (EB) irradiation and hot-water extraction (HWE) of wood have been used independently as pretreatment methods to improve enzymatic hydrolysis (EH) of hardwoods by reducing cellulose crystallinity and removing most of xylans, respectively. Moreover, the results of our previous studies have demonstrated that after acetone:water (9:1) (AW) washing, the lignin content in HW-extracted wood decreased while hydrolysability increased. In this study the potential to increase accessibility of sugar maple (</w:t>
                  </w:r>
                  <w:r w:rsidRPr="0005639F">
                    <w:rPr>
                      <w:rFonts w:ascii="Times New Roman" w:eastAsia="Times New Roman" w:hAnsi="Times New Roman" w:cs="Times New Roman"/>
                      <w:i/>
                      <w:iCs/>
                      <w:sz w:val="20"/>
                      <w:szCs w:val="20"/>
                    </w:rPr>
                    <w:t>Acer saccharum</w:t>
                  </w:r>
                  <w:r w:rsidRPr="0005639F">
                    <w:rPr>
                      <w:rFonts w:ascii="Times New Roman" w:eastAsia="Times New Roman" w:hAnsi="Times New Roman" w:cs="Times New Roman"/>
                      <w:sz w:val="20"/>
                      <w:szCs w:val="20"/>
                    </w:rPr>
                    <w:t>) for EH was further explored by performing EB irradiation (bars; 250, 750 and 1000 kGy) followed by HWE (chips; 160 °C, 2 hours) and/or AW (chips; 120 °C, 20 min). After pretreatments (EB, HWE, EB_AW, EB_HWE, HWE_AW, EB_HWE_AW), wood was grounded to 30 mesh and EH was performed (Cellic ® CTec2, HTec2, Novozymes; 72 hours). Samples of hydrolysates collected throughout EH (sampling every four hours in duplicate) were analyzed for the concentration of glucose and xylose while the wood before and after EH was analyzed for the content of lignin and glucose and xylose-based polysaccharides. EH yields based on the sugar content of the substrate were calculated to assess each pretreatment method. These studies are expected to enhance pretreatment procedures for the production of glucose from hardwoods by applying relatively mild and environmentally friendly procedures.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2288154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Kelly Sowers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Zhentao Hou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Jeffrey Peterson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Sanela Lampa-Pastirk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Todd Krauss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 Univ of Rochester, Rochester, NY, United States. </w:t>
                  </w:r>
                  <w:r w:rsidRPr="0005639F">
                    <w:rPr>
                      <w:rFonts w:ascii="Times New Roman" w:eastAsia="Times New Roman" w:hAnsi="Times New Roman" w:cs="Times New Roman"/>
                      <w:sz w:val="20"/>
                      <w:szCs w:val="20"/>
                    </w:rPr>
                    <w:br/>
                    <w:t xml:space="preserve">2. SUNY Geneseo, Geneseo,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4" w:anchor="2288154" w:history="1">
                    <w:r w:rsidRPr="0005639F">
                      <w:rPr>
                        <w:rFonts w:ascii="Times New Roman" w:eastAsia="Times New Roman" w:hAnsi="Times New Roman" w:cs="Times New Roman"/>
                        <w:b/>
                        <w:bCs/>
                        <w:color w:val="0000FF"/>
                        <w:sz w:val="20"/>
                        <w:szCs w:val="20"/>
                        <w:u w:val="single"/>
                      </w:rPr>
                      <w:t xml:space="preserve">Optical Properties of CdSe/CdS core/shell QDs with Tunable Surface Composition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Colloidal CdSe quantum dot (QD) cores were synthesized via hot-injection, and shelled with CdS using the successive ionic layer adsorption and reaction (SILAR) method. In order to control the surface composition of </w:t>
                  </w:r>
                  <w:r w:rsidRPr="0005639F">
                    <w:rPr>
                      <w:rFonts w:ascii="Times New Roman" w:eastAsia="Times New Roman" w:hAnsi="Times New Roman" w:cs="Times New Roman"/>
                      <w:sz w:val="20"/>
                      <w:szCs w:val="20"/>
                    </w:rPr>
                    <w:lastRenderedPageBreak/>
                    <w:t>the particles, alternating injections of cadmium carboxylate precursor and secondary phosphine sulfide percursors were applied. The application of sulfur layers was found to substantially reduce the photoluminescence (PL), while cadmium injections reversibly restored PL. The sequential quenching and restoring of PL is observed on multiple core sizes, using both diisobutyl phosphine sulfide (DiBPS), and diphenyl phosphine sulfide (DPPS). Secondary phosphines were used for their high reactivity and their ability to dramatically increase reaction yields. This allows for lower temperatures, enabling facile and reproducible large-scale synthesis of high-quality particles.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2289592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Christopher Lanthier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Kevin Cross</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Richard E. Partch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Clarkson University, Potsdam, NY, United States. </w:t>
                  </w:r>
                  <w:r w:rsidRPr="0005639F">
                    <w:rPr>
                      <w:rFonts w:ascii="Times New Roman" w:eastAsia="Times New Roman" w:hAnsi="Times New Roman" w:cs="Times New Roman"/>
                      <w:sz w:val="20"/>
                      <w:szCs w:val="20"/>
                    </w:rPr>
                    <w:br/>
                    <w:t xml:space="preserve">2. CAMP, Clarkson University,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5" w:anchor="2289592" w:history="1">
                    <w:r w:rsidRPr="0005639F">
                      <w:rPr>
                        <w:rFonts w:ascii="Times New Roman" w:eastAsia="Times New Roman" w:hAnsi="Times New Roman" w:cs="Times New Roman"/>
                        <w:color w:val="0000FF"/>
                        <w:sz w:val="20"/>
                        <w:szCs w:val="20"/>
                        <w:u w:val="single"/>
                      </w:rPr>
                      <w:t>Ni-Zn-Cu Ferrite nanoparticles for antenna miniaturization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objective of this experimental work is to develop Ni-Zn-Cu oxide ferrite nanoparticles and their polymer composites that have the necessary properties for use as miniature antennas. The miniaturization of electronics, particularly antennas, is of immense interest for the commercial and defense communities. The wavelenth of an electromagnetic (EM) wave propagating throughout a medium governs the physical dimensions of the antenna. For low frequency antennas their size are prohibitively large. In order to suppress the wavelength and to reduce the size of the antennas, new materials with either a high relative permiittivity or a high permeability need to be developed.</w:t>
                  </w:r>
                  <w:r w:rsidRPr="0005639F">
                    <w:rPr>
                      <w:rFonts w:ascii="Times New Roman" w:eastAsia="Times New Roman" w:hAnsi="Times New Roman" w:cs="Times New Roman"/>
                      <w:sz w:val="20"/>
                      <w:szCs w:val="20"/>
                    </w:rPr>
                    <w:br/>
                    <w:t>Techniques used to develop the titled ferrites include polyol reduction and co-precipitation chemical methods, and intense physical mixing of commercial nanopowder oxides. The mixed oxides were then calcined and sintered at high temperatures to control the grain size and magnetic properties. Optimized ferrites are being mixed in 20-50 wt % ratios in polymer melts to prepare composites for electronic and magnetic evaluation by sponsor collaborators.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2290295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Ziqi Qing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Anting Chen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Wei Wu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Bernier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Wayne E. Jones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State University of New York at Binghamton, Vestal,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6" w:anchor="2290295" w:history="1">
                    <w:r w:rsidRPr="0005639F">
                      <w:rPr>
                        <w:rFonts w:ascii="Times New Roman" w:eastAsia="Times New Roman" w:hAnsi="Times New Roman" w:cs="Times New Roman"/>
                        <w:b/>
                        <w:bCs/>
                        <w:color w:val="0000FF"/>
                        <w:sz w:val="20"/>
                        <w:szCs w:val="20"/>
                        <w:u w:val="single"/>
                      </w:rPr>
                      <w:t>Design and Synthesis of Fluorescent Conjugated Polymers as Fluoride Chemosensor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Fluorescent conjugated polymers (FCPs) represent one of the significant chemosensors in both </w:t>
                  </w:r>
                  <w:r w:rsidRPr="0005639F">
                    <w:rPr>
                      <w:rFonts w:ascii="Times New Roman" w:eastAsia="Times New Roman" w:hAnsi="Times New Roman" w:cs="Times New Roman"/>
                      <w:sz w:val="20"/>
                      <w:szCs w:val="20"/>
                    </w:rPr>
                    <w:lastRenderedPageBreak/>
                    <w:t>environmental and biological systems because mobile excitons can transfer along the polymer chain like a molecular wire creating enhanced sensitivity. Compared to small molecular sensors, these new FCP systems possess better selectivity in addition to sensitivity during detection. Previous work involving the synthesis of fluorescent conjugated polymers have focused on sensors for metal cations. Recently, we have designed FCP’s for detection of fluoride ions and prepared these materials via the Sonogashira coupling reaction (</w:t>
                  </w:r>
                  <w:r w:rsidRPr="0005639F">
                    <w:rPr>
                      <w:rFonts w:ascii="Times New Roman" w:eastAsia="Times New Roman" w:hAnsi="Times New Roman" w:cs="Times New Roman"/>
                      <w:b/>
                      <w:bCs/>
                      <w:sz w:val="20"/>
                      <w:szCs w:val="20"/>
                    </w:rPr>
                    <w:t>Scheme 1</w:t>
                  </w:r>
                  <w:r w:rsidRPr="0005639F">
                    <w:rPr>
                      <w:rFonts w:ascii="Times New Roman" w:eastAsia="Times New Roman" w:hAnsi="Times New Roman" w:cs="Times New Roman"/>
                      <w:sz w:val="20"/>
                      <w:szCs w:val="20"/>
                    </w:rPr>
                    <w:t xml:space="preserve">). The structure of the monomer and the polymer were confirmed using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H NMR and FTIR. Photophysical characterization including UV-vis spectroscopy, time resolved fluorescence emission, quantum yield determination have been investigated in order to compare the performance to model small molecule sensors. Here we report a significant enhancement in selectivity and sensitivity to fluoride when the polymer receptor contains the Si-C bond, trimethylsilyl (TMS).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2290628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Anuj Bhargava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Richard D. Robinson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MSE Department, Cornell University, Ithaca, NY, United States. </w:t>
                  </w:r>
                  <w:r w:rsidRPr="0005639F">
                    <w:rPr>
                      <w:rFonts w:ascii="Times New Roman" w:eastAsia="Times New Roman" w:hAnsi="Times New Roman" w:cs="Times New Roman"/>
                      <w:sz w:val="20"/>
                      <w:szCs w:val="20"/>
                    </w:rPr>
                    <w:br/>
                    <w:t xml:space="preserve">2. Materials Science and Engineering,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7" w:anchor="2290628" w:history="1">
                    <w:r w:rsidRPr="0005639F">
                      <w:rPr>
                        <w:rFonts w:ascii="Times New Roman" w:eastAsia="Times New Roman" w:hAnsi="Times New Roman" w:cs="Times New Roman"/>
                        <w:color w:val="0000FF"/>
                        <w:sz w:val="20"/>
                        <w:szCs w:val="20"/>
                        <w:u w:val="single"/>
                      </w:rPr>
                      <w:t>Enhanced transport kinetics in electrophoretically deposited films of nanoparticles as compared to spin cast films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exciting developments in electrical energy storage technology is dominated by electrochemical capacitors and Li-ion batteries, implementing innovations in nanomaterials, such as colloidal nanoparticles. These nanoparticles are assembled into thin films for use as electrodes. However, difficulties arise in creating functional assemblies of nanoparticles from colloidal solution via conventional deposition techniques such as spin-casting, drop casting, and the slurry method. Electrophoretic deposition (EPD) – an alternate method to fabricate nanoparticle films – shows great promise to overcome challenges from the conventional deposition techniques. To characterize the influence of deposition technique on electrical transport, manganese sulphide (MnS) nanoparticles were deposited on a copper substrate using EPD and spin-casting, and were tested in a half-cell configuration against Li metal. Electrochemical impedance spectroscopy (EIS) was carried out for up to 50 cycles of charging and discharging and the equivalent circuit was evaluated to interpret the various impedance parameters. Our results show that the charge transfer resistance for the EPD films is less than half than that of spin-cast films, hence showing a significantly lower barrier for ion movement past the double layer, and leading to higher storage of charge in the cells. EPD films also result in higher columbic efficiency and greater capacity retention, giving an indication of higher charge transport kinetics, which can be attributed to the better interparticle coupling and more mechanically robust films. Thus our study shows that EPD can be used as a superior deposition technique for colloidal nanoparticles.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CONTROL ID: </w:t>
                  </w:r>
                  <w:r w:rsidRPr="0005639F">
                    <w:rPr>
                      <w:rFonts w:ascii="Times New Roman" w:eastAsia="Times New Roman" w:hAnsi="Times New Roman" w:cs="Times New Roman"/>
                      <w:sz w:val="20"/>
                      <w:szCs w:val="20"/>
                    </w:rPr>
                    <w:t>2290820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Neil Kohan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B. Smith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Biljana Bujanovic</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Thomas Amidon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SUNY ESF,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8" w:anchor="2290820" w:history="1">
                    <w:r w:rsidRPr="0005639F">
                      <w:rPr>
                        <w:rFonts w:ascii="Times New Roman" w:eastAsia="Times New Roman" w:hAnsi="Times New Roman" w:cs="Times New Roman"/>
                        <w:color w:val="0000FF"/>
                        <w:sz w:val="20"/>
                        <w:szCs w:val="20"/>
                        <w:u w:val="single"/>
                      </w:rPr>
                      <w:t>Hydrothermal preatment of willow biomass: Effects on mechanical &amp; physical properties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Rising costs and diminishing availability of petroleum sources has led to increased interest in development of alternatives such as biofuels. Significant research focused on production of ethanol and other fuels from various renewable sources to replace conventional fossil fuels. In New York this led to the development of short-rotation willow biomass crops. However, it became clear that production of ethanol from willow biomass was not economically viable as an independent operation. Research on biofuel production began to explore the possibility of increasing yield through pretreatment. At SUNY ESF this led to the development of the water-based woody biorefinery. The ESF biorefinery uses a variety of processes to convert biomass into chemicals and energy. The ESF biorefinery allows for removal of wood chemicals via hydrothermal pretreatment for other uses, while still retaining a solid wood fraction. The remaining solid wood fraction can be used as furnish for reconstituted wood products with unique qualities as result of pretreatment. Utilization of biomass material in engineered composites can add viability to water-based woody biorefineries as it allows for extraction of hemicelluloses from biomass prior to use of solid fraction in composites. As petroleum costs are driven down by unconventional sources and processes, it will become more important for biorefineries to add output streams such as reconstituted wood products to remain viable alternatives. Focus on fundamental changes to wood mechanical properties is essential for efficient utilization of this potential resource. Mechanical and physical tests were performed on willow cultivars developed for use in biorefineries. Near infrared spectroscopy was used to evaluate contributions of wood polymers to strength and stiffness following several hot water extraction treatments.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8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2290975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YING JI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Fiber Science and Apparel Design,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19" w:anchor="2290975" w:history="1">
                    <w:r w:rsidRPr="0005639F">
                      <w:rPr>
                        <w:rFonts w:ascii="Times New Roman" w:eastAsia="Times New Roman" w:hAnsi="Times New Roman" w:cs="Times New Roman"/>
                        <w:b/>
                        <w:bCs/>
                        <w:color w:val="0000FF"/>
                        <w:sz w:val="20"/>
                        <w:szCs w:val="20"/>
                        <w:u w:val="single"/>
                      </w:rPr>
                      <w:t>Redox-responsive and Photocrosslinkable Micelles from Amino Acid Based Biodegradable Poly (ester-amide)s for Intracellular Release of Doxorubicin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Biodegradable polymers have attracted considerable attentions as versatile drug carriers for the past decades. However, the premature release of payloads before accumulation within tumor tissue and slow/deficient release of chemotherapeutics inside cancer cells became considerable challenges that limited the therapeutic efficacy. This provides good incentive for the design and development of smart delivery system. In this research, biodegradable poly (ester amide)s (PEA) were synthesized with the hydrophobic leucine PEA grafted to the hydrophilic block of lysine-arginine PEA via disulfide linkage. The pendant leucine PEA chains were also end functionalized with the reversibly photocrosslinkable coumarin moieties to prevent premature dissociation of micelles. The copolymer AL2ssL4cou (arginine-lysine PEA-ss-leucine PEA capped with 4-methylcoumarin) formed spherical micellar structure in aqueous solution. UV crosslinking didn't affect much on micellar morphology but significantly improved their stability against dilution (in terms of critical micelle concentration) and against the destabilizing force by the interaction with blood protein. In the release profile of doxorubicin (Dox) loaded AL2ssL4cou micelle, 76% of Dox was released to the 10 mM glutathione media in the first 24 h, while only </w:t>
                  </w:r>
                  <w:r w:rsidRPr="0005639F">
                    <w:rPr>
                      <w:rFonts w:ascii="Times New Roman" w:eastAsia="Times New Roman" w:hAnsi="Times New Roman" w:cs="Times New Roman"/>
                      <w:sz w:val="20"/>
                      <w:szCs w:val="20"/>
                    </w:rPr>
                    <w:lastRenderedPageBreak/>
                    <w:t>25-30% of cumulative release was observed in the non-glutathione-containing media. Confocal microscopy results indicated that after 4 h incubation with cancer cells, Dox-loaded AL2ssL4cou micelle was distributed throughout the cytoplasm, and Dox was found to be localized in the nuclei, which was the typical distribution profile to induce cell apoptosis. Compared to the endocytosis results of AL2L4cou micelle (glutathione insensitive control), the presence of disulfide linkage was responsible for the effective intracellular release of Dox. Cytotoxicity test further proved the greater efficiency for AL2ssL4cou micelle in the inhibition of cancer cells. However, crosslinking of micelle didn’t exert much effect in either in vitro release profile or cancer cell inhibition, as the disassembly of micelle induced by the cleavage of disulfide linkage dominated in the triggered release of doxorubicin.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2290987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Sanjaya Perera</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Xiaoyue Ding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Anuj Bhargava</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Richard D. Robinson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Applied and Engineering Physics, Cornell University, Ithaca, NY, United States. </w:t>
                  </w:r>
                  <w:r w:rsidRPr="0005639F">
                    <w:rPr>
                      <w:rFonts w:ascii="Times New Roman" w:eastAsia="Times New Roman" w:hAnsi="Times New Roman" w:cs="Times New Roman"/>
                      <w:sz w:val="20"/>
                      <w:szCs w:val="20"/>
                    </w:rPr>
                    <w:br/>
                    <w:t xml:space="preserve">2. MSE Department, Cornell University, Ithaca, NY, United States. </w:t>
                  </w:r>
                  <w:r w:rsidRPr="0005639F">
                    <w:rPr>
                      <w:rFonts w:ascii="Times New Roman" w:eastAsia="Times New Roman" w:hAnsi="Times New Roman" w:cs="Times New Roman"/>
                      <w:sz w:val="20"/>
                      <w:szCs w:val="20"/>
                    </w:rPr>
                    <w:br/>
                    <w:t xml:space="preserve">3. Materials Science and Engineering,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0" w:anchor="2290987" w:history="1">
                    <w:r w:rsidRPr="0005639F">
                      <w:rPr>
                        <w:rFonts w:ascii="Times New Roman" w:eastAsia="Times New Roman" w:hAnsi="Times New Roman" w:cs="Times New Roman"/>
                        <w:color w:val="0000FF"/>
                        <w:sz w:val="20"/>
                        <w:szCs w:val="20"/>
                        <w:u w:val="single"/>
                      </w:rPr>
                      <w:t>Colloidal (Co-Mn)3O4 nanoparticles with controllable compositions for additive-free supercapacitor electrodes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Research efforts towards electrochemical capacitors, also known as supercapacitors, have dramatically increased due to the energy crisis. Electrochemical capacitors can provide both high energy storage capacity and fast charge-discharge speed, and are thus seen as a promising technology to fill in the gaps in energy needs not covered by devices such as batteries. Among the most widely investigated materials, transition metal oxides have been shown to exhibit both high specific capacitance because of Faradaic redox activity, and long cyclic life due to their robust crystal structure. </w:t>
                  </w:r>
                  <w:r w:rsidRPr="0005639F">
                    <w:rPr>
                      <w:rFonts w:ascii="Times New Roman" w:eastAsia="Times New Roman" w:hAnsi="Times New Roman" w:cs="Times New Roman"/>
                      <w:sz w:val="20"/>
                      <w:szCs w:val="20"/>
                    </w:rPr>
                    <w:br/>
                    <w:t>In this work, we use colloidal synthesis to produce Co-Mn oxide nanoparticles with various ratios of Co:Mn. The nanoparticles are assembled onto copper substrates as supercapacitor electrodes using Electrophoretic Deposition (EPD), which our group has previously shown as a superior method to create functional nanoparticle assemblies. Using this technique, we successfully fabricate electrochemical capacitors with additive-free and binder-free transitional metal oxides electrodes.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We find that the highest-performing Co-Mn mixture shows an energy density of 26.6 Wh/Kg with a specific capacitance of 173.6 F/g. This nanoparticle electrode delivers the highest power density of 3.8 kW/Kg at a 5 A/g constant current discharge. The energy density and power density delivered by the optimal mixture is ~6× and ~3× higher, respectively, than that of pure Co3O4 electrodes. The specific capacitance for the Co-Mn mixture is also ~4× better than the pure Co3O4 supercapacitor.</w:t>
                  </w:r>
                  <w:r w:rsidRPr="0005639F">
                    <w:rPr>
                      <w:rFonts w:ascii="Times New Roman" w:eastAsia="Times New Roman" w:hAnsi="Times New Roman" w:cs="Times New Roman"/>
                      <w:sz w:val="20"/>
                      <w:szCs w:val="20"/>
                    </w:rPr>
                    <w:br/>
                    <w:t>Our work reveals that electrophoretic deposition enables the assembly of high capacitance and high performance electrochemical electrodes, without the use of additives such as polymers or carbon-black. Our work maps out a strategy for high-specific capacity supercapacitors from colloidal metal oxide nanoparticles synthesized at ambient pressure under moderate temperatures. Avoiding extreme conditions such as hydrothermal and solvothermal methods, our work has provided a new pathway for materials research towards supercapacitors.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2291538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Andrew Nelson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Don-Hyung Ha</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Richard D. Robinson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MSE Department, Cornell University, Ithaca, NY, United States. </w:t>
                  </w:r>
                  <w:r w:rsidRPr="0005639F">
                    <w:rPr>
                      <w:rFonts w:ascii="Times New Roman" w:eastAsia="Times New Roman" w:hAnsi="Times New Roman" w:cs="Times New Roman"/>
                      <w:sz w:val="20"/>
                      <w:szCs w:val="20"/>
                    </w:rPr>
                    <w:br/>
                    <w:t xml:space="preserve">2. Materials Science and Engineering, Massachusetts Institute of Technology, Cambridge,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1" w:anchor="2291538" w:history="1">
                    <w:r w:rsidRPr="0005639F">
                      <w:rPr>
                        <w:rFonts w:ascii="Times New Roman" w:eastAsia="Times New Roman" w:hAnsi="Times New Roman" w:cs="Times New Roman"/>
                        <w:color w:val="0000FF"/>
                        <w:sz w:val="20"/>
                        <w:szCs w:val="20"/>
                        <w:u w:val="single"/>
                      </w:rPr>
                      <w:t>Selective etching of copper sulfide nanocrystals and heterostructured nanoparticles using trialkylphosphines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We report mechanistic insights into a chemical transformation in which copper sulfide (Cu</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S) nanocrystals in the presence of trialkylphosphines are rapidly etched following exposure to air, as evidenced by transmission electron microscopy and x-ray diffraction. Dissolution is complete in hours to days; the rate of etching may be coarsely controlled by the steric bulk of the trialkylphosphine. Examination of the etching products using FT-IR and NMR reveals that the nanocrystals are dissolved to form a complex mixture of phosphine oxides, sulfides, and associated copper/sulfur complexes, which is consistent with a process in which copper sulfide is attacked by free radicals generated during the autoxidation of trialkylphosphines. The strong chemical interactions between copper sulfide and phosphines also manifest under air-free conditions; treatment of sulfur-rich Cu</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S with trialkylphosphine converts the nanoparticles into a more copper-rich Cu</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S phase even without the participation of oxygen. Finally, we demonstrate that this etching process can be applied to selectively remove Cu</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S from epitaxial heterostructured ZnS-Cu</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S nanocrystals. Size-dependent localized surface plasmon resonance (LSPR) shifts are seen in the pure Cu</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S nanocrystals following etching, but not in the heterostructures, showing that the LSPR is pinned by the presence of epitaxial ZnS. These connections between ligand chemistry and nanoscale chemical transformations offer new ways to tune the structure and properties of as-synthesized nanomaterials.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2291849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Linda Wangoh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Yiqing Huang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Ryan Jezorek</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Fredrick Omenya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Ruibo Zhang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 S. Whittingham</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Louis Piper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Physics, Applied Physics and Astronomy, Binghamton University, Binghamton, NY, United States. </w:t>
                  </w:r>
                  <w:r w:rsidRPr="0005639F">
                    <w:rPr>
                      <w:rFonts w:ascii="Times New Roman" w:eastAsia="Times New Roman" w:hAnsi="Times New Roman" w:cs="Times New Roman"/>
                      <w:sz w:val="20"/>
                      <w:szCs w:val="20"/>
                    </w:rPr>
                    <w:br/>
                    <w:t xml:space="preserve">2. Chemistry, Binghamton University, Binghamton,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2" w:anchor="2291849" w:history="1">
                    <w:r w:rsidRPr="0005639F">
                      <w:rPr>
                        <w:rFonts w:ascii="Times New Roman" w:eastAsia="Times New Roman" w:hAnsi="Times New Roman" w:cs="Times New Roman"/>
                        <w:color w:val="0000FF"/>
                        <w:sz w:val="20"/>
                        <w:szCs w:val="20"/>
                        <w:u w:val="single"/>
                      </w:rPr>
                      <w:t>Lithium reactions in V</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O</w:t>
                    </w:r>
                    <w:r w:rsidRPr="0005639F">
                      <w:rPr>
                        <w:rFonts w:ascii="Times New Roman" w:eastAsia="Times New Roman" w:hAnsi="Times New Roman" w:cs="Times New Roman"/>
                        <w:color w:val="0000FF"/>
                        <w:sz w:val="20"/>
                        <w:szCs w:val="20"/>
                        <w:u w:val="single"/>
                        <w:vertAlign w:val="subscript"/>
                      </w:rPr>
                      <w:t>5</w:t>
                    </w:r>
                    <w:r w:rsidRPr="0005639F">
                      <w:rPr>
                        <w:rFonts w:ascii="Times New Roman" w:eastAsia="Times New Roman" w:hAnsi="Times New Roman" w:cs="Times New Roman"/>
                        <w:color w:val="0000FF"/>
                        <w:sz w:val="20"/>
                        <w:szCs w:val="20"/>
                        <w:u w:val="single"/>
                      </w:rPr>
                      <w:t>.nH</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O aerogel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br/>
                    <w:t>Lithium reactions in vanadium oxide aerogel cathodes were investigated using a combination of electrochemical analysis and x-ray photoelectron spectroscopy. These systems can incorporate more than 5 Li</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per mole of V</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5</w:t>
                  </w:r>
                  <w:r w:rsidRPr="0005639F">
                    <w:rPr>
                      <w:rFonts w:ascii="Times New Roman" w:eastAsia="Times New Roman" w:hAnsi="Times New Roman" w:cs="Times New Roman"/>
                      <w:sz w:val="20"/>
                      <w:szCs w:val="20"/>
                    </w:rPr>
                    <w:t xml:space="preserve"> corresponding to high specific capacity of about 600 mAh/g. Moreover, they exhibit both Faradaic and non-Faradaic charge transfer processes which present an opportunity to develop high performance electrochemical </w:t>
                  </w:r>
                  <w:r w:rsidRPr="0005639F">
                    <w:rPr>
                      <w:rFonts w:ascii="Times New Roman" w:eastAsia="Times New Roman" w:hAnsi="Times New Roman" w:cs="Times New Roman"/>
                      <w:sz w:val="20"/>
                      <w:szCs w:val="20"/>
                    </w:rPr>
                    <w:lastRenderedPageBreak/>
                    <w:t>pseudocapacitors for next generation energy storage. The structure has residual water molecules within the bilayers. During electrochemical lithiation, lithium is considered to react with the residual water molecules forming undesirable lithium hydroxide species and is considered to reduce the specific capacity and degrades cycling performance. Despite the important role of these reactions, direct evidence of lithium hydroxide formation during lithium insertion/extraction is minimal and warrants further attention to better understand and improve the electrochemical performance of vanadium oxide aerogels. Our results show direct evidence of lithium hydroxide species forming concurrently with vanadium reductions as the lithium is inserted. During the lithium extraction, the lithium hydroxide species are reduced but are not entirely removed. Our observations were further supported by heating and chemical lithiation treatments. Our results also highlight changes in crystal structure as a function of temperature and the electrochemical performance of the vanadium oxide aerogel.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2291969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Hubert K. Bilan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Mario Wriedt</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Clarkson University, Potsdam, NY, United States. </w:t>
                  </w:r>
                  <w:r w:rsidRPr="0005639F">
                    <w:rPr>
                      <w:rFonts w:ascii="Times New Roman" w:eastAsia="Times New Roman" w:hAnsi="Times New Roman" w:cs="Times New Roman"/>
                      <w:sz w:val="20"/>
                      <w:szCs w:val="20"/>
                    </w:rPr>
                    <w:br/>
                    <w:t xml:space="preserve">2. Chemistry Biomolecular Science, Clarkson University,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3" w:anchor="2291969" w:history="1">
                    <w:r w:rsidRPr="0005639F">
                      <w:rPr>
                        <w:rFonts w:ascii="Times New Roman" w:eastAsia="Times New Roman" w:hAnsi="Times New Roman" w:cs="Times New Roman"/>
                        <w:color w:val="0000FF"/>
                        <w:sz w:val="20"/>
                        <w:szCs w:val="20"/>
                        <w:u w:val="single"/>
                      </w:rPr>
                      <w:t>Introduction of Zwitterionic Moieties into Metal-Organic Frameworks via Post Synthetic Modifications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Concern over the rising rate of greenhouse gas emissions has prompted a demand in methods for reducing the overall carbon footprint of industries and private residencies. One such industrial target is the reduction of flue gas emissions. Known as amine scrubbing, carbon dioxide is typically captured by the introduction of flue gas into amine solutions where it chemically binds to the amine. The captured gas is released via the mechanism of temperature swing processes where elevated temperatures prompt the separation of the amine and gas. While current methods have proven robust and reliable, they are limited by a high energy input to facilitate the reversible capture and release of carbon dioxide. One class of materials that has shown promise in reducing the energy demand of temperature swing carbon capture are metal-organic frameworks (MOFs). They show highly porous crystalline structures with a wide array of pore sizes and morphologies which can be tuned to develop an improved carbon capture model. MOFs surpass amine scrubbing methods by allowing for the addition of various functionalities to the crystal framework, many of which can improve the carbon capture of the MOF. However, most MOFs are synthesized by slow crystal growth processes and are characterized for their crystal structures by x-ray diffraction (XRD) methods. Many desired topologies cannot form under these conditions because the functionalities that are meant to capture carbon dioxide instead inhibit the MOF formation. This has prompted researchers to pursue an alternative method, namely post synthetic modification (PSM), in which easy to synthesize precursor MOFs are modified by desired functionalities after they have been synthesized. This work focuses on PSM of known MOFs to introduce zwitterionic functionalities to their framework in an effort to characterize their effect on carbon capture. XRD methods are used to determine the crystallinity of the MOFs alongside BET measurements to determine the effect of PSM to the MOF’s internal surface area. These methods coupled with TGA and DSC, and H1NMR can be used to quantify the structure, storage capacity, and stability of the MOFs. Results will be used to draw conclusions of the potential of these materials as future carbon capture candidates.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2291980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Nayereh Dadoo</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William Gramlich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University of Maine, Orono, ME, United States. </w:t>
                  </w:r>
                  <w:r w:rsidRPr="0005639F">
                    <w:rPr>
                      <w:rFonts w:ascii="Times New Roman" w:eastAsia="Times New Roman" w:hAnsi="Times New Roman" w:cs="Times New Roman"/>
                      <w:sz w:val="20"/>
                      <w:szCs w:val="20"/>
                    </w:rPr>
                    <w:br/>
                    <w:t xml:space="preserve">2. chemistry, university of maine, Orono, ME,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4" w:anchor="2291980" w:history="1">
                    <w:r w:rsidRPr="0005639F">
                      <w:rPr>
                        <w:rFonts w:ascii="Times New Roman" w:eastAsia="Times New Roman" w:hAnsi="Times New Roman" w:cs="Times New Roman"/>
                        <w:b/>
                        <w:bCs/>
                        <w:color w:val="0000FF"/>
                        <w:sz w:val="20"/>
                        <w:szCs w:val="20"/>
                        <w:u w:val="single"/>
                      </w:rPr>
                      <w:t>Synthesis of photo-patternable, stimuli-responsive hyaluronic acid hydrogels by the thiol-norbornene reaction</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Tissue regeneration has attracted attention due to the need to repair and replace injured tissues. As an alternative to organ transplantation, tissue engineering uses a patient’s own cells to regenerate tissues and therefore eliminates the need of complex surgery and life-long immunosuppression. To facilitate this healing, advanced scaffolds are required that mimic the spatiotemporal and stimuli responsive properties of the natural extracellular matrix (ECM). Complex hydrogel systems can achieve these properties and promote regeneration but their synthesis can be cumbersome with multiple reactions needed. To simplify gel formation, we used the thiol-ene reaction to introduce stimuli responsiveness while crosslinking by using norbornene functionalized hyaluronic acid (HA) and a thiol terminated crosslinker. The addition reaction between thiol free-radicals and a double bond in a strained ring is fast (less than 1 minute gelation) and selective as norbornene groups do not react with each other. Thus, undesired polymerization does not occur in contrast to methacrylated HA. A dithiol PNIPAM was synthesized utilizing reversible addition-fragmentation chain transfer (RAFT) polymerization with subsequent aminolysis to react with the norbornene-modified HA chains and crosslink the hydrogel. PNIPAm is a thermo-responsive polymer and due to its lower critical solution temperature (32ᵒC) around the body temperature is suitable for biomedical studies. The LCST of the synthesized PNIPAm was confirmed to be around this temperature by light scattering. We studied the thermal properties of hydrogels in three different temperatures: below, at, and above 37ᵒC and measured their swelling degree – a measurement of thermo-sensitivity – over several heating and cooling cycles. The compression moduli of the hydrogels were measured by dynamic mechanical analysis (DMA) to be 6 – 8 kPa. The properties of HA-PNIPAm gels suggest that these gels are potentially smart materials for use in biomedical applications.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2291996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Jonathan Gooch</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Abhishek Anan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Stephanie F. Jones-Labadie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Corey R. Hine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Rabeka Alam</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Somnath Garai</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Jon A. Zubieta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Mathew M. Maye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Achim Muller</w:t>
                  </w:r>
                  <w:r w:rsidRPr="0005639F">
                    <w:rPr>
                      <w:rFonts w:ascii="Times New Roman" w:eastAsia="Times New Roman" w:hAnsi="Times New Roman" w:cs="Times New Roman"/>
                      <w:sz w:val="20"/>
                      <w:szCs w:val="20"/>
                      <w:vertAlign w:val="superscript"/>
                    </w:rPr>
                    <w:t>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Univ, Syracuse, NY, United States. </w:t>
                  </w:r>
                  <w:r w:rsidRPr="0005639F">
                    <w:rPr>
                      <w:rFonts w:ascii="Times New Roman" w:eastAsia="Times New Roman" w:hAnsi="Times New Roman" w:cs="Times New Roman"/>
                      <w:sz w:val="20"/>
                      <w:szCs w:val="20"/>
                    </w:rPr>
                    <w:br/>
                    <w:t xml:space="preserve">2. Chemistry, Syracuse University, Syracuse, NY, United States. </w:t>
                  </w:r>
                  <w:r w:rsidRPr="0005639F">
                    <w:rPr>
                      <w:rFonts w:ascii="Times New Roman" w:eastAsia="Times New Roman" w:hAnsi="Times New Roman" w:cs="Times New Roman"/>
                      <w:sz w:val="20"/>
                      <w:szCs w:val="20"/>
                    </w:rPr>
                    <w:br/>
                    <w:t xml:space="preserve">3. Department of Chemistry, Syracuse University, Syracuse, NY, United States. </w:t>
                  </w:r>
                  <w:r w:rsidRPr="0005639F">
                    <w:rPr>
                      <w:rFonts w:ascii="Times New Roman" w:eastAsia="Times New Roman" w:hAnsi="Times New Roman" w:cs="Times New Roman"/>
                      <w:sz w:val="20"/>
                      <w:szCs w:val="20"/>
                    </w:rPr>
                    <w:br/>
                    <w:t xml:space="preserve">4. Chemistry, Bielefeld University, Bielefeld, Germany.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5" w:anchor="2291996" w:history="1">
                    <w:r w:rsidRPr="0005639F">
                      <w:rPr>
                        <w:rFonts w:ascii="Times New Roman" w:eastAsia="Times New Roman" w:hAnsi="Times New Roman" w:cs="Times New Roman"/>
                        <w:b/>
                        <w:bCs/>
                        <w:color w:val="0000FF"/>
                        <w:sz w:val="20"/>
                        <w:szCs w:val="20"/>
                        <w:u w:val="single"/>
                      </w:rPr>
                      <w:t>Keplerate Cluster (Mo-132) Mediated Electrostatic Assembly of Nanoparticles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electrostatic assembly between a series of differently charged Mo-132-type Keplerates present in the compounds (NH</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42</w:t>
                  </w:r>
                  <w:r w:rsidRPr="0005639F">
                    <w:rPr>
                      <w:rFonts w:ascii="Times New Roman" w:eastAsia="Times New Roman" w:hAnsi="Times New Roman" w:cs="Times New Roman"/>
                      <w:sz w:val="20"/>
                      <w:szCs w:val="20"/>
                    </w:rPr>
                    <w:t>[{(Mo</w:t>
                  </w:r>
                  <w:r w:rsidRPr="0005639F">
                    <w:rPr>
                      <w:rFonts w:ascii="Times New Roman" w:eastAsia="Times New Roman" w:hAnsi="Times New Roman" w:cs="Times New Roman"/>
                      <w:sz w:val="20"/>
                      <w:szCs w:val="20"/>
                      <w:vertAlign w:val="superscript"/>
                    </w:rPr>
                    <w:t>VI</w:t>
                  </w:r>
                  <w:r w:rsidRPr="0005639F">
                    <w:rPr>
                      <w:rFonts w:ascii="Times New Roman" w:eastAsia="Times New Roman" w:hAnsi="Times New Roman" w:cs="Times New Roman"/>
                      <w:sz w:val="20"/>
                      <w:szCs w:val="20"/>
                    </w:rPr>
                    <w:t>)Mo</w:t>
                  </w:r>
                  <w:r w:rsidRPr="0005639F">
                    <w:rPr>
                      <w:rFonts w:ascii="Times New Roman" w:eastAsia="Times New Roman" w:hAnsi="Times New Roman" w:cs="Times New Roman"/>
                      <w:sz w:val="20"/>
                      <w:szCs w:val="20"/>
                      <w:vertAlign w:val="superscript"/>
                    </w:rPr>
                    <w:t>VI</w:t>
                  </w:r>
                  <w:r w:rsidRPr="0005639F">
                    <w:rPr>
                      <w:rFonts w:ascii="Times New Roman" w:eastAsia="Times New Roman" w:hAnsi="Times New Roman" w:cs="Times New Roman"/>
                      <w:sz w:val="20"/>
                      <w:szCs w:val="20"/>
                      <w:vertAlign w:val="subscript"/>
                    </w:rPr>
                    <w:t>5</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21</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 xml:space="preserve">12 </w:t>
                  </w:r>
                  <w:r w:rsidRPr="0005639F">
                    <w:rPr>
                      <w:rFonts w:ascii="Times New Roman" w:eastAsia="Times New Roman" w:hAnsi="Times New Roman" w:cs="Times New Roman"/>
                      <w:sz w:val="20"/>
                      <w:szCs w:val="20"/>
                    </w:rPr>
                    <w:t>{Mo</w:t>
                  </w:r>
                  <w:r w:rsidRPr="0005639F">
                    <w:rPr>
                      <w:rFonts w:ascii="Times New Roman" w:eastAsia="Times New Roman" w:hAnsi="Times New Roman" w:cs="Times New Roman"/>
                      <w:sz w:val="20"/>
                      <w:szCs w:val="20"/>
                      <w:vertAlign w:val="superscript"/>
                    </w:rPr>
                    <w:t>V</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(CH</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COO)}</w:t>
                  </w:r>
                  <w:r w:rsidRPr="0005639F">
                    <w:rPr>
                      <w:rFonts w:ascii="Times New Roman" w:eastAsia="Times New Roman" w:hAnsi="Times New Roman" w:cs="Times New Roman"/>
                      <w:sz w:val="20"/>
                      <w:szCs w:val="20"/>
                      <w:vertAlign w:val="subscript"/>
                    </w:rPr>
                    <w:t>30</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ca</w:t>
                  </w:r>
                  <w:r w:rsidRPr="0005639F">
                    <w:rPr>
                      <w:rFonts w:ascii="Times New Roman" w:eastAsia="Times New Roman" w:hAnsi="Times New Roman" w:cs="Times New Roman"/>
                      <w:sz w:val="20"/>
                      <w:szCs w:val="20"/>
                    </w:rPr>
                    <w:t>. {300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 + 10 CH</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COONH</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(Mo-132a), (NH</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72-n</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81-n</w:t>
                  </w:r>
                  <w:r w:rsidRPr="0005639F">
                    <w:rPr>
                      <w:rFonts w:ascii="Times New Roman" w:eastAsia="Times New Roman" w:hAnsi="Times New Roman" w:cs="Times New Roman"/>
                      <w:sz w:val="20"/>
                      <w:szCs w:val="20"/>
                    </w:rPr>
                    <w:t xml:space="preserve"> + (NH</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n</w:t>
                  </w:r>
                  <w:r w:rsidRPr="0005639F">
                    <w:rPr>
                      <w:rFonts w:ascii="Times New Roman" w:eastAsia="Times New Roman" w:hAnsi="Times New Roman" w:cs="Times New Roman"/>
                      <w:sz w:val="20"/>
                      <w:szCs w:val="20"/>
                    </w:rPr>
                    <w:t>} {(Mo</w:t>
                  </w:r>
                  <w:r w:rsidRPr="0005639F">
                    <w:rPr>
                      <w:rFonts w:ascii="Times New Roman" w:eastAsia="Times New Roman" w:hAnsi="Times New Roman" w:cs="Times New Roman"/>
                      <w:sz w:val="20"/>
                      <w:szCs w:val="20"/>
                      <w:vertAlign w:val="superscript"/>
                    </w:rPr>
                    <w:t>VI</w:t>
                  </w:r>
                  <w:r w:rsidRPr="0005639F">
                    <w:rPr>
                      <w:rFonts w:ascii="Times New Roman" w:eastAsia="Times New Roman" w:hAnsi="Times New Roman" w:cs="Times New Roman"/>
                      <w:sz w:val="20"/>
                      <w:szCs w:val="20"/>
                    </w:rPr>
                    <w:t>)Mo</w:t>
                  </w:r>
                  <w:r w:rsidRPr="0005639F">
                    <w:rPr>
                      <w:rFonts w:ascii="Times New Roman" w:eastAsia="Times New Roman" w:hAnsi="Times New Roman" w:cs="Times New Roman"/>
                      <w:sz w:val="20"/>
                      <w:szCs w:val="20"/>
                      <w:vertAlign w:val="superscript"/>
                    </w:rPr>
                    <w:t>VI</w:t>
                  </w:r>
                  <w:r w:rsidRPr="0005639F">
                    <w:rPr>
                      <w:rFonts w:ascii="Times New Roman" w:eastAsia="Times New Roman" w:hAnsi="Times New Roman" w:cs="Times New Roman"/>
                      <w:sz w:val="20"/>
                      <w:szCs w:val="20"/>
                      <w:vertAlign w:val="subscript"/>
                    </w:rPr>
                    <w:t>5</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21</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 xml:space="preserve">12 </w:t>
                  </w:r>
                  <w:r w:rsidRPr="0005639F">
                    <w:rPr>
                      <w:rFonts w:ascii="Times New Roman" w:eastAsia="Times New Roman" w:hAnsi="Times New Roman" w:cs="Times New Roman"/>
                      <w:sz w:val="20"/>
                      <w:szCs w:val="20"/>
                    </w:rPr>
                    <w:t>{Mo</w:t>
                  </w:r>
                  <w:r w:rsidRPr="0005639F">
                    <w:rPr>
                      <w:rFonts w:ascii="Times New Roman" w:eastAsia="Times New Roman" w:hAnsi="Times New Roman" w:cs="Times New Roman"/>
                      <w:sz w:val="20"/>
                      <w:szCs w:val="20"/>
                      <w:vertAlign w:val="superscript"/>
                    </w:rPr>
                    <w:t>V</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(SO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30</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ca</w:t>
                  </w:r>
                  <w:r w:rsidRPr="0005639F">
                    <w:rPr>
                      <w:rFonts w:ascii="Times New Roman" w:eastAsia="Times New Roman" w:hAnsi="Times New Roman" w:cs="Times New Roman"/>
                      <w:sz w:val="20"/>
                      <w:szCs w:val="20"/>
                    </w:rPr>
                    <w:t>. 200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 (Mo-132b), and Na</w:t>
                  </w:r>
                  <w:r w:rsidRPr="0005639F">
                    <w:rPr>
                      <w:rFonts w:ascii="Times New Roman" w:eastAsia="Times New Roman" w:hAnsi="Times New Roman" w:cs="Times New Roman"/>
                      <w:sz w:val="20"/>
                      <w:szCs w:val="20"/>
                      <w:vertAlign w:val="subscript"/>
                    </w:rPr>
                    <w:t>10</w:t>
                  </w:r>
                  <w:r w:rsidRPr="0005639F">
                    <w:rPr>
                      <w:rFonts w:ascii="Times New Roman" w:eastAsia="Times New Roman" w:hAnsi="Times New Roman" w:cs="Times New Roman"/>
                      <w:sz w:val="20"/>
                      <w:szCs w:val="20"/>
                    </w:rPr>
                    <w:t>(NH</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62</w:t>
                  </w:r>
                  <w:r w:rsidRPr="0005639F">
                    <w:rPr>
                      <w:rFonts w:ascii="Times New Roman" w:eastAsia="Times New Roman" w:hAnsi="Times New Roman" w:cs="Times New Roman"/>
                      <w:sz w:val="20"/>
                      <w:szCs w:val="20"/>
                    </w:rPr>
                    <w:t>[{(Mo</w:t>
                  </w:r>
                  <w:r w:rsidRPr="0005639F">
                    <w:rPr>
                      <w:rFonts w:ascii="Times New Roman" w:eastAsia="Times New Roman" w:hAnsi="Times New Roman" w:cs="Times New Roman"/>
                      <w:sz w:val="20"/>
                      <w:szCs w:val="20"/>
                      <w:vertAlign w:val="superscript"/>
                    </w:rPr>
                    <w:t>VI</w:t>
                  </w:r>
                  <w:r w:rsidRPr="0005639F">
                    <w:rPr>
                      <w:rFonts w:ascii="Times New Roman" w:eastAsia="Times New Roman" w:hAnsi="Times New Roman" w:cs="Times New Roman"/>
                      <w:sz w:val="20"/>
                      <w:szCs w:val="20"/>
                    </w:rPr>
                    <w:t>)Mo</w:t>
                  </w:r>
                  <w:r w:rsidRPr="0005639F">
                    <w:rPr>
                      <w:rFonts w:ascii="Times New Roman" w:eastAsia="Times New Roman" w:hAnsi="Times New Roman" w:cs="Times New Roman"/>
                      <w:sz w:val="20"/>
                      <w:szCs w:val="20"/>
                      <w:vertAlign w:val="superscript"/>
                    </w:rPr>
                    <w:t>VI</w:t>
                  </w:r>
                  <w:r w:rsidRPr="0005639F">
                    <w:rPr>
                      <w:rFonts w:ascii="Times New Roman" w:eastAsia="Times New Roman" w:hAnsi="Times New Roman" w:cs="Times New Roman"/>
                      <w:sz w:val="20"/>
                      <w:szCs w:val="20"/>
                      <w:vertAlign w:val="subscript"/>
                    </w:rPr>
                    <w:t>5</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21</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 xml:space="preserve">12 </w:t>
                  </w:r>
                  <w:r w:rsidRPr="0005639F">
                    <w:rPr>
                      <w:rFonts w:ascii="Times New Roman" w:eastAsia="Times New Roman" w:hAnsi="Times New Roman" w:cs="Times New Roman"/>
                      <w:sz w:val="20"/>
                      <w:szCs w:val="20"/>
                    </w:rPr>
                    <w:t>{Mo</w:t>
                  </w:r>
                  <w:r w:rsidRPr="0005639F">
                    <w:rPr>
                      <w:rFonts w:ascii="Times New Roman" w:eastAsia="Times New Roman" w:hAnsi="Times New Roman" w:cs="Times New Roman"/>
                      <w:sz w:val="20"/>
                      <w:szCs w:val="20"/>
                      <w:vertAlign w:val="superscript"/>
                    </w:rPr>
                    <w:t>V</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(HPO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30</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ca</w:t>
                  </w:r>
                  <w:r w:rsidRPr="0005639F">
                    <w:rPr>
                      <w:rFonts w:ascii="Times New Roman" w:eastAsia="Times New Roman" w:hAnsi="Times New Roman" w:cs="Times New Roman"/>
                      <w:sz w:val="20"/>
                      <w:szCs w:val="20"/>
                    </w:rPr>
                    <w:t>. {300H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 + 2Na</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+ 2NH</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+ 4H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PO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(Mo-132c) with cationic gold nanoparticles (AuNPs) was investigated for the first time. The rapid electrostatic assembly from nanoscopic entities to micron scale aggregates was observed upon precipitation, which closely matched the point of aggregate electroneutrality. Successful assembly was demonstrated using UV-vis, DLS, TEM, and zeta-Potential analysis. Results indicate that the point at which precipitation occurs is related to charge balance or electroneutrality, and that counterions at both the Mo-132 and AuNP play a significant role in assembly.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 xml:space="preserve">Since a few graduates from Syracuse University will be presenting posters at this conference, it would be appreciated if Jonathan Gooch, Kayleigh McGovern, Soumyashree Gangopadhyay, and Elizabeth Cleverdon from Syracuse University could have the same presentation date to make travel expenses more accommodating. Thank You.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2292162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William J. Blanford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Maria Ho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Steven Labrecque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Steven Mai</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School of Earth and Environmental Sciences, Queens College, Flushing, NY, United States. </w:t>
                  </w:r>
                  <w:r w:rsidRPr="0005639F">
                    <w:rPr>
                      <w:rFonts w:ascii="Times New Roman" w:eastAsia="Times New Roman" w:hAnsi="Times New Roman" w:cs="Times New Roman"/>
                      <w:sz w:val="20"/>
                      <w:szCs w:val="20"/>
                    </w:rPr>
                    <w:br/>
                    <w:t xml:space="preserve">2. Townsend Harris High School, Flushing,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6" w:anchor="2292162" w:history="1">
                    <w:r w:rsidRPr="0005639F">
                      <w:rPr>
                        <w:rFonts w:ascii="Times New Roman" w:eastAsia="Times New Roman" w:hAnsi="Times New Roman" w:cs="Times New Roman"/>
                        <w:color w:val="0000FF"/>
                        <w:sz w:val="20"/>
                        <w:szCs w:val="20"/>
                        <w:u w:val="single"/>
                      </w:rPr>
                      <w:t>Evaluation of Surfactant Modified Zeolites for Removal of Organic Chemicals from Aqueous Cyclodextrin Solutions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ability of the cyclic sugar, cyclodextrin (CD), to form inclusion complexes with hydrophobic organic chemicals (HOCs) has been exploited in a wide range applications including aquifer remediation. In previous work, air-stripping and sorption to granular activated carbon were shown as effective means for separating organic chemicals from CD solutions. In this study, a series of column tests were performed to evaluate the potential of surfactant modified zeolites (SMZ) as a sorbent for removal of organic chemicals from aqueous cyclodextrin solutions.</w:t>
                  </w:r>
                  <w:r w:rsidRPr="0005639F">
                    <w:rPr>
                      <w:rFonts w:ascii="Times New Roman" w:eastAsia="Times New Roman" w:hAnsi="Times New Roman" w:cs="Times New Roman"/>
                      <w:sz w:val="20"/>
                      <w:szCs w:val="20"/>
                    </w:rPr>
                    <w:br/>
                    <w:t>In these tests, the inter- and intra-particle diffusional properties were first evaluated by conducting studies with the ionic tracer bromide at series of five flowrates and three particle sizes. Through a similar range of flow and system variables, the dynamics of hydrophobic partitioning between a common organic pollutant, trichloroethylene (TCE), and the sorbent were examined. After these baseline interactions were established, the influence different concentrations of hydroxypropyl-β-cyclodextrin in water were examined through conducting a series of tests of TCE with different concentrations of CD in the mobile phase.</w:t>
                  </w:r>
                  <w:r w:rsidRPr="0005639F">
                    <w:rPr>
                      <w:rFonts w:ascii="Times New Roman" w:eastAsia="Times New Roman" w:hAnsi="Times New Roman" w:cs="Times New Roman"/>
                      <w:sz w:val="20"/>
                      <w:szCs w:val="20"/>
                    </w:rPr>
                    <w:br/>
                    <w:t>In order to thoroughly evaluate the results and to evaluate the potential of the sorbent in full-scale applications basic contaminant transport simulations were performed. The breakthrough curves from the bromide column studies were simulated using a mobile-immobile model with the assumption that the fluid within the particles was a non-advection domain. Since TCE experiences these same processes, to that model was added the effect of sorption of TCE. It was approximated with a two-site model consisting of both equilibrium and rate-limited sorption sites.</w:t>
                  </w:r>
                  <w:r w:rsidRPr="0005639F">
                    <w:rPr>
                      <w:rFonts w:ascii="Times New Roman" w:eastAsia="Times New Roman" w:hAnsi="Times New Roman" w:cs="Times New Roman"/>
                      <w:sz w:val="20"/>
                      <w:szCs w:val="20"/>
                    </w:rPr>
                    <w:br/>
                    <w:t>Modeling showed that under equilibrium conditions, the influence of cyclodextrin on TCE transport was shown to be proportional to the water/CD partitioning coefficients. This shows that the presence of cyclodextrin does not alter the equilibrium water/SMZ distribution coefficients.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2292246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Brandon Wenning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Nanette Matos</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John Finlay</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Nick Aldred</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Anthony Clare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Christopher K. Ober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 Ithaca, NY, United States. </w:t>
                  </w:r>
                  <w:r w:rsidRPr="0005639F">
                    <w:rPr>
                      <w:rFonts w:ascii="Times New Roman" w:eastAsia="Times New Roman" w:hAnsi="Times New Roman" w:cs="Times New Roman"/>
                      <w:sz w:val="20"/>
                      <w:szCs w:val="20"/>
                    </w:rPr>
                    <w:br/>
                    <w:t xml:space="preserve">2. Chemistry and Chemical Biology, Cornell University, Ithaca, NY, United States. </w:t>
                  </w:r>
                  <w:r w:rsidRPr="0005639F">
                    <w:rPr>
                      <w:rFonts w:ascii="Times New Roman" w:eastAsia="Times New Roman" w:hAnsi="Times New Roman" w:cs="Times New Roman"/>
                      <w:sz w:val="20"/>
                      <w:szCs w:val="20"/>
                    </w:rPr>
                    <w:br/>
                    <w:t xml:space="preserve">3. School of Biosciences, Newcastle University, Newcastle, United Kingdom.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7" w:anchor="2292246" w:history="1">
                    <w:r w:rsidRPr="0005639F">
                      <w:rPr>
                        <w:rFonts w:ascii="Times New Roman" w:eastAsia="Times New Roman" w:hAnsi="Times New Roman" w:cs="Times New Roman"/>
                        <w:color w:val="0000FF"/>
                        <w:sz w:val="20"/>
                        <w:szCs w:val="20"/>
                        <w:u w:val="single"/>
                      </w:rPr>
                      <w:t>Amphiphilic Siloxane-Based Marine Antifouling Coatings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Settlement and adhesion of marine fouling organisms can be effectively controlled using environmentally benign siloxane based coatings. New di- and triblock copolymers PS-</w:t>
                  </w:r>
                  <w:r w:rsidRPr="0005639F">
                    <w:rPr>
                      <w:rFonts w:ascii="Times New Roman" w:eastAsia="Times New Roman" w:hAnsi="Times New Roman" w:cs="Times New Roman"/>
                      <w:i/>
                      <w:iCs/>
                      <w:sz w:val="20"/>
                      <w:szCs w:val="20"/>
                    </w:rPr>
                    <w:t>b</w:t>
                  </w:r>
                  <w:r w:rsidRPr="0005639F">
                    <w:rPr>
                      <w:rFonts w:ascii="Times New Roman" w:eastAsia="Times New Roman" w:hAnsi="Times New Roman" w:cs="Times New Roman"/>
                      <w:sz w:val="20"/>
                      <w:szCs w:val="20"/>
                    </w:rPr>
                    <w:t>-P(DMS-</w:t>
                  </w:r>
                  <w:r w:rsidRPr="0005639F">
                    <w:rPr>
                      <w:rFonts w:ascii="Times New Roman" w:eastAsia="Times New Roman" w:hAnsi="Times New Roman" w:cs="Times New Roman"/>
                      <w:i/>
                      <w:iCs/>
                      <w:sz w:val="20"/>
                      <w:szCs w:val="20"/>
                    </w:rPr>
                    <w:t>r</w:t>
                  </w:r>
                  <w:r w:rsidRPr="0005639F">
                    <w:rPr>
                      <w:rFonts w:ascii="Times New Roman" w:eastAsia="Times New Roman" w:hAnsi="Times New Roman" w:cs="Times New Roman"/>
                      <w:sz w:val="20"/>
                      <w:szCs w:val="20"/>
                    </w:rPr>
                    <w:t>-VMS) and PS-</w:t>
                  </w:r>
                  <w:r w:rsidRPr="0005639F">
                    <w:rPr>
                      <w:rFonts w:ascii="Times New Roman" w:eastAsia="Times New Roman" w:hAnsi="Times New Roman" w:cs="Times New Roman"/>
                      <w:i/>
                      <w:iCs/>
                      <w:sz w:val="20"/>
                      <w:szCs w:val="20"/>
                    </w:rPr>
                    <w:t>b</w:t>
                  </w:r>
                  <w:r w:rsidRPr="0005639F">
                    <w:rPr>
                      <w:rFonts w:ascii="Times New Roman" w:eastAsia="Times New Roman" w:hAnsi="Times New Roman" w:cs="Times New Roman"/>
                      <w:sz w:val="20"/>
                      <w:szCs w:val="20"/>
                    </w:rPr>
                    <w:t>-P(DMS-</w:t>
                  </w:r>
                  <w:r w:rsidRPr="0005639F">
                    <w:rPr>
                      <w:rFonts w:ascii="Times New Roman" w:eastAsia="Times New Roman" w:hAnsi="Times New Roman" w:cs="Times New Roman"/>
                      <w:i/>
                      <w:iCs/>
                      <w:sz w:val="20"/>
                      <w:szCs w:val="20"/>
                    </w:rPr>
                    <w:t>r</w:t>
                  </w:r>
                  <w:r w:rsidRPr="0005639F">
                    <w:rPr>
                      <w:rFonts w:ascii="Times New Roman" w:eastAsia="Times New Roman" w:hAnsi="Times New Roman" w:cs="Times New Roman"/>
                      <w:sz w:val="20"/>
                      <w:szCs w:val="20"/>
                    </w:rPr>
                    <w:t>-VMS)-</w:t>
                  </w:r>
                  <w:r w:rsidRPr="0005639F">
                    <w:rPr>
                      <w:rFonts w:ascii="Times New Roman" w:eastAsia="Times New Roman" w:hAnsi="Times New Roman" w:cs="Times New Roman"/>
                      <w:i/>
                      <w:iCs/>
                      <w:sz w:val="20"/>
                      <w:szCs w:val="20"/>
                    </w:rPr>
                    <w:t>b</w:t>
                  </w:r>
                  <w:r w:rsidRPr="0005639F">
                    <w:rPr>
                      <w:rFonts w:ascii="Times New Roman" w:eastAsia="Times New Roman" w:hAnsi="Times New Roman" w:cs="Times New Roman"/>
                      <w:sz w:val="20"/>
                      <w:szCs w:val="20"/>
                    </w:rPr>
                    <w:t>-PS were designed as hydrophobic, low surface energy backbone materials capable of being functionalized via thiol-ene “click” chemistry to the vinyl groups along the polymer. This backbone provides a highly customizable platform for screening a wide array of functional groups for antifouling performance. Thiols of hydrophilic chemical groups such as PEG, as well as fluoroalkyl and stable radical groups can be synthesized and attached to the polymer to control surface chemistry and antifouling performance. Amphiphilic block copolymers, combining both hydrophilic and hydrophobic components, have been shown to be very effective in reducing settlement of marine organisms. By tailoring block copolymer and side group composition as well as the functionalization of varied chemical moieties via “click” chemistry, the surface chemistry can be controlled and is studied using multiple X-ray spectroscopy methods. Because of the dynamic nature of these surfaces, chemical and architectural control of the copolymers also dramatically affects the kinetics of surface rearrangement in aqueous environments which can be studied by bubble contact angle under water. The antifouling performance of these materials is investigated through studying protein adsorption as well as the settlement, attachment, and removal of fouling organisms such as green algae, diatoms, and barnacles. Highly effecting coatings can be developed by correlating polymer structure, surface chemistry, surface rearrangement characteristics, and antifouling performance.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2292260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Karthik Jayaraman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Alexander Y. Fadeev</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Biochemistry, Seton Hall University, South Orange,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8" w:anchor="2292260" w:history="1">
                    <w:r w:rsidRPr="0005639F">
                      <w:rPr>
                        <w:rFonts w:ascii="Times New Roman" w:eastAsia="Times New Roman" w:hAnsi="Times New Roman" w:cs="Times New Roman"/>
                        <w:color w:val="0000FF"/>
                        <w:sz w:val="20"/>
                        <w:szCs w:val="20"/>
                        <w:u w:val="single"/>
                      </w:rPr>
                      <w:t>Adsorption of water on silica surfaces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extent of hydroxylation of silica surface i.e the population of hydroxyl (-OH) groups on the surface is of utmost importance for its practical applications as the hydroxyls are major adsorption sites on a silica surface. </w:t>
                  </w:r>
                  <w:r w:rsidRPr="0005639F">
                    <w:rPr>
                      <w:rFonts w:ascii="Times New Roman" w:eastAsia="Times New Roman" w:hAnsi="Times New Roman" w:cs="Times New Roman"/>
                      <w:sz w:val="20"/>
                      <w:szCs w:val="20"/>
                    </w:rPr>
                    <w:lastRenderedPageBreak/>
                    <w:t>This work is focused on the systematic experimental characterization adsorption of water on a series of well-defined surfaces with known concentration of different silanol groups, including fully hydroxylated surfaces, surfaces with only isolated and no vicinal silanols, as well as surfaces with no silanols.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Surface hydration, hydroxylation and ageing are all possible phenomenon that may complicate the measurement of water adsorption isotherms and lead to uncertain results. To avoid these complications, several samples including all major types of silica and other metal oxides were prepared in our laboratory under controlled hydroxylation and dehydroxylation conditions. The thermo gravimetric analyses of all the adsorbents were carried out in house immediately after surface preparation to get the number of hydroxyl groups. Water and nitrogen adsorption measurements were carried out in a timely manner for all adsorbents. This exhaustive and systematic measurement for a wide range of adsorbents is an important step in establishing reliable standards for interpretation of water isotherms and adsorption data.</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Adsorption of water on the adsorbents varied more than one order of magnitude depending on the hydroxyl content. Notably, the adsorption stayed below the apparent monolayer capacity for all the silicas indicating weak adsorption interactions of the water molecules. For dehydroxylated silicas which contain predominantly only isolated silanols, there is very little water adsorption. For comparison, we have measured the adsorption isotherms for water on Teflon spheres and silicas that were completely hydrophobized via attachment of trimethylsilane groups. To our surprise, the amount of water adsorbed on dehydroxylated silicas (at 600-800-1000</w:t>
                  </w:r>
                  <w:r w:rsidRPr="0005639F">
                    <w:rPr>
                      <w:rFonts w:ascii="Times New Roman" w:eastAsia="Times New Roman" w:hAnsi="Times New Roman" w:cs="Times New Roman"/>
                      <w:sz w:val="20"/>
                      <w:szCs w:val="20"/>
                      <w:vertAlign w:val="superscript"/>
                    </w:rPr>
                    <w:t>o</w:t>
                  </w:r>
                  <w:r w:rsidRPr="0005639F">
                    <w:rPr>
                      <w:rFonts w:ascii="Times New Roman" w:eastAsia="Times New Roman" w:hAnsi="Times New Roman" w:cs="Times New Roman"/>
                      <w:sz w:val="20"/>
                      <w:szCs w:val="20"/>
                    </w:rPr>
                    <w:t>C) was lower than on the hydrophobic surfaces. This data indicates that isolated silanols are not hydrophilic and play little (if any) role in water adsorption.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59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2292282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Scott J. Riley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UMBC, Brooklyn,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29" w:anchor="2292282" w:history="1">
                    <w:r w:rsidRPr="0005639F">
                      <w:rPr>
                        <w:rFonts w:ascii="Times New Roman" w:eastAsia="Times New Roman" w:hAnsi="Times New Roman" w:cs="Times New Roman"/>
                        <w:b/>
                        <w:bCs/>
                        <w:color w:val="0000FF"/>
                        <w:sz w:val="20"/>
                        <w:szCs w:val="20"/>
                        <w:u w:val="single"/>
                      </w:rPr>
                      <w:t>More Jolt for Your Bolt: Creating Enhanced Battery Materials through Biology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 the modern world there exists an ever increasing demand for more efficient forms of energy storage. Electrochemical cells are the most widely used form of portable energy storage and are possible candidates for applications on larger scales. From mobile devices to cars, batteries are integrated into many facets of daily life, yet little improvement in their performance is being recognized. While batteries have been improving over the years, the growth is slow and staggered. Any major breakthrough in improved conductivity or safety can have a large impact on the overall demand on lithium ion batteries. To accomplish this battery research is turning to biology for a new avenue of enhancement. Biology provides many model systems capable of producing inorganic precipitates with exceptional control. These systems can be employed to create new bio-hybrid battery materials. My work is centered on maximizing battery performance by interfacing biology with high potential battery materials.</w:t>
                  </w:r>
                  <w:r w:rsidRPr="0005639F">
                    <w:rPr>
                      <w:rFonts w:ascii="Times New Roman" w:eastAsia="Times New Roman" w:hAnsi="Times New Roman" w:cs="Times New Roman"/>
                      <w:sz w:val="20"/>
                      <w:szCs w:val="20"/>
                    </w:rPr>
                    <w:br/>
                    <w:t xml:space="preserve">My research is focused on using an array of interdisciplinary techniques to address performance issues commonly found in batteries. I use the technique of phage display to isolate </w:t>
                  </w:r>
                  <w:r w:rsidRPr="0005639F">
                    <w:rPr>
                      <w:rFonts w:ascii="Times New Roman" w:eastAsia="Times New Roman" w:hAnsi="Times New Roman" w:cs="Times New Roman"/>
                      <w:sz w:val="20"/>
                      <w:szCs w:val="20"/>
                      <w:u w:val="single"/>
                    </w:rPr>
                    <w:t>S</w:t>
                  </w:r>
                  <w:r w:rsidRPr="0005639F">
                    <w:rPr>
                      <w:rFonts w:ascii="Times New Roman" w:eastAsia="Times New Roman" w:hAnsi="Times New Roman" w:cs="Times New Roman"/>
                      <w:sz w:val="20"/>
                      <w:szCs w:val="20"/>
                    </w:rPr>
                    <w:t xml:space="preserve">olid </w:t>
                  </w:r>
                  <w:r w:rsidRPr="0005639F">
                    <w:rPr>
                      <w:rFonts w:ascii="Times New Roman" w:eastAsia="Times New Roman" w:hAnsi="Times New Roman" w:cs="Times New Roman"/>
                      <w:sz w:val="20"/>
                      <w:szCs w:val="20"/>
                      <w:u w:val="single"/>
                    </w:rPr>
                    <w:t>B</w:t>
                  </w:r>
                  <w:r w:rsidRPr="0005639F">
                    <w:rPr>
                      <w:rFonts w:ascii="Times New Roman" w:eastAsia="Times New Roman" w:hAnsi="Times New Roman" w:cs="Times New Roman"/>
                      <w:sz w:val="20"/>
                      <w:szCs w:val="20"/>
                    </w:rPr>
                    <w:t xml:space="preserve">inding </w:t>
                  </w:r>
                  <w:r w:rsidRPr="0005639F">
                    <w:rPr>
                      <w:rFonts w:ascii="Times New Roman" w:eastAsia="Times New Roman" w:hAnsi="Times New Roman" w:cs="Times New Roman"/>
                      <w:sz w:val="20"/>
                      <w:szCs w:val="20"/>
                      <w:u w:val="single"/>
                    </w:rPr>
                    <w:t>P</w:t>
                  </w:r>
                  <w:r w:rsidRPr="0005639F">
                    <w:rPr>
                      <w:rFonts w:ascii="Times New Roman" w:eastAsia="Times New Roman" w:hAnsi="Times New Roman" w:cs="Times New Roman"/>
                      <w:sz w:val="20"/>
                      <w:szCs w:val="20"/>
                    </w:rPr>
                    <w:t xml:space="preserve">eptides (SBP) that bind to cathode materials, specifically </w:t>
                  </w:r>
                  <w:r w:rsidRPr="0005639F">
                    <w:rPr>
                      <w:rFonts w:ascii="Times New Roman" w:eastAsia="Times New Roman" w:hAnsi="Times New Roman" w:cs="Times New Roman"/>
                      <w:sz w:val="20"/>
                      <w:szCs w:val="20"/>
                      <w:u w:val="single"/>
                    </w:rPr>
                    <w:t>L</w:t>
                  </w:r>
                  <w:r w:rsidRPr="0005639F">
                    <w:rPr>
                      <w:rFonts w:ascii="Times New Roman" w:eastAsia="Times New Roman" w:hAnsi="Times New Roman" w:cs="Times New Roman"/>
                      <w:sz w:val="20"/>
                      <w:szCs w:val="20"/>
                    </w:rPr>
                    <w:t xml:space="preserve">ithium </w:t>
                  </w:r>
                  <w:r w:rsidRPr="0005639F">
                    <w:rPr>
                      <w:rFonts w:ascii="Times New Roman" w:eastAsia="Times New Roman" w:hAnsi="Times New Roman" w:cs="Times New Roman"/>
                      <w:sz w:val="20"/>
                      <w:szCs w:val="20"/>
                      <w:u w:val="single"/>
                    </w:rPr>
                    <w:t>C</w:t>
                  </w:r>
                  <w:r w:rsidRPr="0005639F">
                    <w:rPr>
                      <w:rFonts w:ascii="Times New Roman" w:eastAsia="Times New Roman" w:hAnsi="Times New Roman" w:cs="Times New Roman"/>
                      <w:sz w:val="20"/>
                      <w:szCs w:val="20"/>
                    </w:rPr>
                    <w:t xml:space="preserve">obalt </w:t>
                  </w:r>
                  <w:r w:rsidRPr="0005639F">
                    <w:rPr>
                      <w:rFonts w:ascii="Times New Roman" w:eastAsia="Times New Roman" w:hAnsi="Times New Roman" w:cs="Times New Roman"/>
                      <w:sz w:val="20"/>
                      <w:szCs w:val="20"/>
                      <w:u w:val="single"/>
                    </w:rPr>
                    <w:t>P</w:t>
                  </w:r>
                  <w:r w:rsidRPr="0005639F">
                    <w:rPr>
                      <w:rFonts w:ascii="Times New Roman" w:eastAsia="Times New Roman" w:hAnsi="Times New Roman" w:cs="Times New Roman"/>
                      <w:sz w:val="20"/>
                      <w:szCs w:val="20"/>
                    </w:rPr>
                    <w:t xml:space="preserve">hosphate (LCP). Currently, phage display has identified two peptides which bind to LCP. These peptides are utilized in several ways, to synthesize LCP and then bio-tether it to conducting </w:t>
                  </w:r>
                  <w:r w:rsidRPr="0005639F">
                    <w:rPr>
                      <w:rFonts w:ascii="Times New Roman" w:eastAsia="Times New Roman" w:hAnsi="Times New Roman" w:cs="Times New Roman"/>
                      <w:sz w:val="20"/>
                      <w:szCs w:val="20"/>
                      <w:u w:val="single"/>
                    </w:rPr>
                    <w:t>C</w:t>
                  </w:r>
                  <w:r w:rsidRPr="0005639F">
                    <w:rPr>
                      <w:rFonts w:ascii="Times New Roman" w:eastAsia="Times New Roman" w:hAnsi="Times New Roman" w:cs="Times New Roman"/>
                      <w:sz w:val="20"/>
                      <w:szCs w:val="20"/>
                    </w:rPr>
                    <w:t xml:space="preserve">arbon </w:t>
                  </w:r>
                  <w:r w:rsidRPr="0005639F">
                    <w:rPr>
                      <w:rFonts w:ascii="Times New Roman" w:eastAsia="Times New Roman" w:hAnsi="Times New Roman" w:cs="Times New Roman"/>
                      <w:sz w:val="20"/>
                      <w:szCs w:val="20"/>
                      <w:u w:val="single"/>
                    </w:rPr>
                    <w:t>N</w:t>
                  </w:r>
                  <w:r w:rsidRPr="0005639F">
                    <w:rPr>
                      <w:rFonts w:ascii="Times New Roman" w:eastAsia="Times New Roman" w:hAnsi="Times New Roman" w:cs="Times New Roman"/>
                      <w:sz w:val="20"/>
                      <w:szCs w:val="20"/>
                    </w:rPr>
                    <w:t>ano</w:t>
                  </w:r>
                  <w:r w:rsidRPr="0005639F">
                    <w:rPr>
                      <w:rFonts w:ascii="Times New Roman" w:eastAsia="Times New Roman" w:hAnsi="Times New Roman" w:cs="Times New Roman"/>
                      <w:sz w:val="20"/>
                      <w:szCs w:val="20"/>
                      <w:u w:val="single"/>
                    </w:rPr>
                    <w:t>t</w:t>
                  </w:r>
                  <w:r w:rsidRPr="0005639F">
                    <w:rPr>
                      <w:rFonts w:ascii="Times New Roman" w:eastAsia="Times New Roman" w:hAnsi="Times New Roman" w:cs="Times New Roman"/>
                      <w:sz w:val="20"/>
                      <w:szCs w:val="20"/>
                    </w:rPr>
                    <w:t>ubes (CNT), with the ultimate goal creating self-assembled electrodes through the combination of multiple SBPs. This method of electrode construction will enhance multiple aspects of battery performance as well as create a novel route of electrode assembly.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2292314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Alexander Winton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Scott J. Riley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Evgenia Barannikova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Mark A. Allen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UMBC, Brooklyn, MD, United States. </w:t>
                  </w:r>
                  <w:r w:rsidRPr="0005639F">
                    <w:rPr>
                      <w:rFonts w:ascii="Times New Roman" w:eastAsia="Times New Roman" w:hAnsi="Times New Roman" w:cs="Times New Roman"/>
                      <w:sz w:val="20"/>
                      <w:szCs w:val="20"/>
                    </w:rPr>
                    <w:br/>
                    <w:t xml:space="preserve">2. Chemistry and Biochemistry, University of Maryland Baltimore County, Catonsville,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0" w:anchor="2292314" w:history="1">
                    <w:r w:rsidRPr="0005639F">
                      <w:rPr>
                        <w:rFonts w:ascii="Times New Roman" w:eastAsia="Times New Roman" w:hAnsi="Times New Roman" w:cs="Times New Roman"/>
                        <w:color w:val="0000FF"/>
                        <w:sz w:val="20"/>
                        <w:szCs w:val="20"/>
                        <w:u w:val="single"/>
                      </w:rPr>
                      <w:t>Polypeptides for Precipitation and Self-assembly of Lithium Ion Battery Electrodes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goal of this research is to identify polypeptide sequences with specific binding affinity for electro-active materials which may be utilized in lithium ion batteries. Phage display provides a means of identifying peptides which exhibit specific binding affinity for target materials, by utilizing M13 bacteriophage as vectors which allow for screening of billions of 12mer peptide variants. Currently, peptides with specific binding affinity for Lithium Titanate Oxide and Lithium Manganese Oxide have been identified by phage display. These polypeptides may be utilized to precipitate, in aqueous solutions, the inorganic electro-active materials they were screened against. As research progresses other materials such as conductive carbon nanotubes, current collectors, and separator materials will be screened against using phage display, with the over-arching goal of identifying binding peptides for each of the component materials found in a lithium ion battery cell. These individual peptides will be further refined and modified through binding and characterization studies to improve the peptide-material interactions, such that electrode binders may be replaced by these peptides. Finally, investigation will strive to rationally design multifunctional polypeptides from the previously identified individual binding domains with the goal of generating: self-assembling, lithium ion battery electrodes under ambient conditions.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2292386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Sanghamitra Sengupta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Victoria Vasso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Leander Bromley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Kyle Banecker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Dennis Elsenbeck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Sushanta das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Luis A. Velarde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University at Buffalo, Buffalo,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1" w:anchor="2292386" w:history="1">
                    <w:r w:rsidRPr="0005639F">
                      <w:rPr>
                        <w:rFonts w:ascii="Times New Roman" w:eastAsia="Times New Roman" w:hAnsi="Times New Roman" w:cs="Times New Roman"/>
                        <w:color w:val="0000FF"/>
                        <w:sz w:val="20"/>
                        <w:szCs w:val="20"/>
                        <w:u w:val="single"/>
                      </w:rPr>
                      <w:t>New insights of the chromophore-semiconductor interface by doubly-resonant non-linear surface spectroscopy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Obtaining molecular structure for aggregated states of photosensitizers at semiconductor interfaces has been challenging. We have demonstrated that Doubly-Resonance Sum Frequency Generation (DR-SFG) spectroscopy can be used as a surface and species-selective probe in order to characterize sensitized nanocrystalline interfaces and gain molecular-level information about changes in orientation and intermolecular couplings for different surface aggregation states of chalcogenorhodamine dyes. The selenium-containing class of dyes used in </w:t>
                  </w:r>
                  <w:r w:rsidRPr="0005639F">
                    <w:rPr>
                      <w:rFonts w:ascii="Times New Roman" w:eastAsia="Times New Roman" w:hAnsi="Times New Roman" w:cs="Times New Roman"/>
                      <w:sz w:val="20"/>
                      <w:szCs w:val="20"/>
                    </w:rPr>
                    <w:lastRenderedPageBreak/>
                    <w:t>this study have shown to be promising candidates for dye sensitized solar cells and solar hydrogen production due to their broad absorption spectra, high photoelectrochemical conversion efficiencies, and prolonged stability. The increased efficiency has been attributed to formation of H type of aggregates at the titania interface. However, a detailed molecular-level picture of this process has not been developed. In this work, we study different anchoring groups and dye conformations on a mesoporous TiO</w:t>
                  </w:r>
                  <w:r w:rsidRPr="0005639F">
                    <w:rPr>
                      <w:rFonts w:ascii="Times New Roman" w:eastAsia="Times New Roman" w:hAnsi="Times New Roman" w:cs="Times New Roman"/>
                      <w:sz w:val="20"/>
                      <w:szCs w:val="20"/>
                      <w:vertAlign w:val="subscript"/>
                    </w:rPr>
                    <w:t xml:space="preserve">2 </w:t>
                  </w:r>
                  <w:r w:rsidRPr="0005639F">
                    <w:rPr>
                      <w:rFonts w:ascii="Times New Roman" w:eastAsia="Times New Roman" w:hAnsi="Times New Roman" w:cs="Times New Roman"/>
                      <w:sz w:val="20"/>
                      <w:szCs w:val="20"/>
                    </w:rPr>
                    <w:t>film and compare the DR-SFG results for different by vibrational excitations selectively coupled to the aggregated and non-aggregated species via an upconverting excitation. Our results show gradual appearance and disappearance of vibrational peaks as the upconverting excitation is tuned towards the blue region of the absorption band which is consistent with the H-type aggregation region. Therefore, we have demonstrated for the first time that DR-SFG can used to selectively probe the structure of a monolayer sub-groups by means of vibrionic coupling of interfacial species.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2292447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Materials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Anqi Song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Dapeng Jing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Erik S. Skibinski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Melissa A. Hines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2" w:anchor="2292447" w:history="1">
                    <w:r w:rsidRPr="0005639F">
                      <w:rPr>
                        <w:rFonts w:ascii="Times New Roman" w:eastAsia="Times New Roman" w:hAnsi="Times New Roman" w:cs="Times New Roman"/>
                        <w:color w:val="0000FF"/>
                        <w:sz w:val="20"/>
                        <w:szCs w:val="20"/>
                        <w:u w:val="single"/>
                      </w:rPr>
                      <w:t>Atomic-scale investigations of nanocatalysts: The unexpected reactivity of TiO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 xml:space="preserve"> in aqueous solutions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surface chemistry of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nanocatalysts has received a great deal of attention due to high-profile applications such as dye-sensitized solar cells and photoactivated self-cleaning or environmentally-remediating surfaces. Nevertheless, fundamental understanding of these surface reactions has been hindered by technical difficulties relating to the size and stability of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polymorphs. The most interesting questions surround the reactivity of the anatase polymorph in solution or humid environments; however, most studies have focused on the rutile polymorph in ultrahigh vacuum (UHV) environments. In this work, we show simple aqueous reactions produce rutile surfaces with a different structure and a different reactivity than those prepared in UHV, while also demonstrating macroscopic, synthetic anatase surfaces suitable for surface science investigations. These investigations demonstrate the importance of investigating nanocatalyst reactivity in relevant environments.</w:t>
                  </w:r>
                  <w:r w:rsidRPr="0005639F">
                    <w:rPr>
                      <w:rFonts w:ascii="Times New Roman" w:eastAsia="Times New Roman" w:hAnsi="Times New Roman" w:cs="Times New Roman"/>
                      <w:sz w:val="20"/>
                      <w:szCs w:val="20"/>
                    </w:rPr>
                    <w:br/>
                    <w:t>Somewhat surprisingly, the reaction of rough rutile (110) surfaces with basic peroxide solutions produces atomically perfect surfaces characterized by large, defect-free terraces separated by straight atomic-height steps with a different structure than those produced in UHV. The surfaces are also notable for their lack of O vacancies, defects that dominate the reactivity of UHV-prepared rutile. Scanning tunneling microscopy (STM) and x-ray photoemission spectroscopy (XPS) show that these solution-processed surfaces are terminated by a bidentate, carbonate-containing ligand (likely CO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or HCO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that desorbs upon mild heating. Time-dependent studies of the surface morphology in combination with kinetic Monte Carlo simulations show one specific site present in concentrations of less than 1% of a monolayer dominates the reactivity of the surface during etching. This highly site-selective reactivity is explained by a simple model based on metal oxo coordination chemistry. This study shows that one of the principle roles of peroxide in etching and growth reactions is destabilizing neighboring bonds and increasing their lability. As a result, the peroxo ligand adds a degree of reversibility to growth reactions, thereby promoting the formation of well ordered crystals and explaining the well known structure-directing role of peroxide in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growth.</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2212715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Mercedes Espinosa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Mariluz Menendez</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Mariana Huerta Francos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Maria Sanchez</w:t>
                  </w:r>
                  <w:r w:rsidRPr="0005639F">
                    <w:rPr>
                      <w:rFonts w:ascii="Times New Roman" w:eastAsia="Times New Roman" w:hAnsi="Times New Roman" w:cs="Times New Roman"/>
                      <w:sz w:val="20"/>
                      <w:szCs w:val="20"/>
                      <w:vertAlign w:val="superscript"/>
                    </w:rPr>
                    <w:t>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Anahuac University, Mexico, Mexico. </w:t>
                  </w:r>
                  <w:r w:rsidRPr="0005639F">
                    <w:rPr>
                      <w:rFonts w:ascii="Times New Roman" w:eastAsia="Times New Roman" w:hAnsi="Times New Roman" w:cs="Times New Roman"/>
                      <w:sz w:val="20"/>
                      <w:szCs w:val="20"/>
                    </w:rPr>
                    <w:br/>
                    <w:t xml:space="preserve">2. Universidad Anahuac Mexico Norte, Queretaro, Queretaro, Mexico. </w:t>
                  </w:r>
                  <w:r w:rsidRPr="0005639F">
                    <w:rPr>
                      <w:rFonts w:ascii="Times New Roman" w:eastAsia="Times New Roman" w:hAnsi="Times New Roman" w:cs="Times New Roman"/>
                      <w:sz w:val="20"/>
                      <w:szCs w:val="20"/>
                    </w:rPr>
                    <w:br/>
                    <w:t xml:space="preserve">3. Universidad Anahuac Norte, Puebla, Puebla, Mexico. </w:t>
                  </w:r>
                  <w:r w:rsidRPr="0005639F">
                    <w:rPr>
                      <w:rFonts w:ascii="Times New Roman" w:eastAsia="Times New Roman" w:hAnsi="Times New Roman" w:cs="Times New Roman"/>
                      <w:sz w:val="20"/>
                      <w:szCs w:val="20"/>
                    </w:rPr>
                    <w:br/>
                    <w:t xml:space="preserve">4. Universidad Anahuac Mexico Norte, Mexico City, Mexico City, Mexico.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3" w:anchor="2212715" w:history="1">
                    <w:r w:rsidRPr="0005639F">
                      <w:rPr>
                        <w:rFonts w:ascii="Times New Roman" w:eastAsia="Times New Roman" w:hAnsi="Times New Roman" w:cs="Times New Roman"/>
                        <w:color w:val="0000FF"/>
                        <w:sz w:val="20"/>
                        <w:szCs w:val="20"/>
                        <w:u w:val="single"/>
                      </w:rPr>
                      <w:t>Preparation of composite films of metal phthalocyanines for optoelectronic applications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Metallophthalocyanines have been recently subject of considerable interest because of their electrical properties that give them a semiconducting behaviour, which is useful in solar cells. The objective of this work is to prepare MPc-polymer composite films for the creation of organic semiconductors. The films were produced by thermal evaporation of Fe, Ni and Co metallophthalocyanines on a nylon 11 surface which was previously deposited on different substrates, in order to perform the structural characterization of the cells and determine their optical parameters involved. The thin films were heated up to 100 °C for 10 minutes, and then to 120 °C for an hour. This procedure helped the metallophthalocyanine penetrate into the nylon 11 surface. Film characterization was performed through Fourier-transform infrared (FT-IR) spectroscopy, scanning electron microscopy (SEM), Profilometry, and Energy Dispersive Spectroscopy (EDS). The optical parameters were determined by an UV-vis spectroscopy and by applying the Tauc model in order to determine the band gaps. The Tauc optical band gap values of the thin films were calculated from the absorption coefficient and were found to be of around 1.8 eV, arising from non-direct transitions. After the film characterization, the electrical current of the films was measured in three different ways; at room temperature with no influence of light, with the influence of a UV shortwave and a UV longwave. The three previously mentioned films (Fe, Ni and Co) showed the best results when they were under the influence of the UV shortwave, followed by the ones of the UV longwave, and at last, the ones measured with no influence of light. Given the results shown previously, these materials may have potential use in solar cells and/or electronic device fabrication.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2212742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Mariana Huerta Francos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Mercedes Espinosa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Maria Sanchez</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Mariluz MenÃ©ndez</w:t>
                  </w:r>
                  <w:r w:rsidRPr="0005639F">
                    <w:rPr>
                      <w:rFonts w:ascii="Times New Roman" w:eastAsia="Times New Roman" w:hAnsi="Times New Roman" w:cs="Times New Roman"/>
                      <w:sz w:val="20"/>
                      <w:szCs w:val="20"/>
                      <w:vertAlign w:val="superscript"/>
                    </w:rPr>
                    <w:t>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Anahuac University, Mexico, Mexico. </w:t>
                  </w:r>
                  <w:r w:rsidRPr="0005639F">
                    <w:rPr>
                      <w:rFonts w:ascii="Times New Roman" w:eastAsia="Times New Roman" w:hAnsi="Times New Roman" w:cs="Times New Roman"/>
                      <w:sz w:val="20"/>
                      <w:szCs w:val="20"/>
                    </w:rPr>
                    <w:br/>
                    <w:t xml:space="preserve">2. Universidad Anahuac Mexico Norte, Queretaro, Queretaro, Mexico. </w:t>
                  </w:r>
                  <w:r w:rsidRPr="0005639F">
                    <w:rPr>
                      <w:rFonts w:ascii="Times New Roman" w:eastAsia="Times New Roman" w:hAnsi="Times New Roman" w:cs="Times New Roman"/>
                      <w:sz w:val="20"/>
                      <w:szCs w:val="20"/>
                    </w:rPr>
                    <w:br/>
                    <w:t xml:space="preserve">3. Universidad Anahuac Norte, Huixquilucan, Estado de Mexico, Mexico. </w:t>
                  </w:r>
                  <w:r w:rsidRPr="0005639F">
                    <w:rPr>
                      <w:rFonts w:ascii="Times New Roman" w:eastAsia="Times New Roman" w:hAnsi="Times New Roman" w:cs="Times New Roman"/>
                      <w:sz w:val="20"/>
                      <w:szCs w:val="20"/>
                    </w:rPr>
                    <w:br/>
                    <w:t xml:space="preserve">4. Universidad Anahuac Norte , Puebla, Puebla, Mexico.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4" w:anchor="2212742" w:history="1">
                    <w:r w:rsidRPr="0005639F">
                      <w:rPr>
                        <w:rFonts w:ascii="Times New Roman" w:eastAsia="Times New Roman" w:hAnsi="Times New Roman" w:cs="Times New Roman"/>
                        <w:color w:val="0000FF"/>
                        <w:sz w:val="20"/>
                        <w:szCs w:val="20"/>
                        <w:u w:val="single"/>
                      </w:rPr>
                      <w:t>Determination of optoelectronic and transport properties of sandwich type structures based on organic semiconductors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r>
                  <w:r w:rsidRPr="0005639F">
                    <w:rPr>
                      <w:rFonts w:ascii="Times New Roman" w:eastAsia="Times New Roman" w:hAnsi="Times New Roman" w:cs="Times New Roman"/>
                      <w:b/>
                      <w:bCs/>
                      <w:sz w:val="20"/>
                      <w:szCs w:val="20"/>
                    </w:rPr>
                    <w:lastRenderedPageBreak/>
                    <w:t xml:space="preserve">Abstract: </w:t>
                  </w:r>
                  <w:r w:rsidRPr="0005639F">
                    <w:rPr>
                      <w:rFonts w:ascii="Times New Roman" w:eastAsia="Times New Roman" w:hAnsi="Times New Roman" w:cs="Times New Roman"/>
                      <w:sz w:val="20"/>
                      <w:szCs w:val="20"/>
                    </w:rPr>
                    <w:t>The discovery of organic light emitting diodes (OLED) based on organic molecules lead to the study and understanding of optical transport properties of organic semiconductors (OS). As OS thin films are constituted of individual molecules held together by weak van der Waals forces, many of the physical properties of the solid are strongly influenced by the degree of intermolecular orbital overlap. Phthalocyanines (Pc) are a type of highly stable OS, which are classified as p-type semiconductors characterized by low mobility and low carrier concentration as well as absorption bands that extend from the ultraviolet to the infrared region.</w:t>
                  </w:r>
                  <w:r w:rsidRPr="0005639F">
                    <w:rPr>
                      <w:rFonts w:ascii="Times New Roman" w:eastAsia="Times New Roman" w:hAnsi="Times New Roman" w:cs="Times New Roman"/>
                      <w:sz w:val="20"/>
                      <w:szCs w:val="20"/>
                    </w:rPr>
                    <w:br/>
                    <w:t>Throughout our project, we have accomplished to create a sandwich-type ITO/nylon 11/MPc (M = Zn, Mn)/Ag structure. This structure was fabricated by vacuum thermal evaporation. Next, the effect of thermal relaxation technique and annealing on structural, morphological, optical and electrical properties of thin films were examined by scanning electron microscopy (SEM), Energy Dispersive X-Ray Spectrometry (EDS) and FT-IR spectroscopy measurements. By a Uv-Vis spectroscopy, optical parameters were determined, and subsequently the Tauc model was applied to those parameters in order to determine the types of transitions presented in the different films. In this case, the found transitions were indirect for both Zn and Mg films. Also, transport characteristics of sandwich organic devices and their junction properties, such as the diode ideality factor and barrier height, were studied by measuring current-voltage characteristics in dark and under illumination conditions. Due to the obtained results, these materials may have strong potential as organic semiconductors, which soon after may be used in optoelectronic devices.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2227508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Evgeny Dikarev</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of Albany Suny, Albany,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5" w:anchor="2227508" w:history="1">
                    <w:r w:rsidRPr="0005639F">
                      <w:rPr>
                        <w:rFonts w:ascii="Times New Roman" w:eastAsia="Times New Roman" w:hAnsi="Times New Roman" w:cs="Times New Roman"/>
                        <w:color w:val="0000FF"/>
                        <w:sz w:val="20"/>
                        <w:szCs w:val="20"/>
                        <w:u w:val="single"/>
                      </w:rPr>
                      <w:t>Soft chemistry approach to the synthesis of energy related materials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major focus of this work is the development of an effective low-temperature approach for the preparation of energy-related materials. Our group is involved in the synthesis of volatile single-source precursors – molecules containing all the necessary elements in the proper ratio and decomposable in a controlled manner under mild conditions to afford target phase-pure products. Mixed-ligand approach to the design of heterometallic precursors with discrete molecular structures, while maintaining the proper metal:metal ratio for the target material, will be presented. Combination of two different diketonate ligands with electron-withdrawing and electron-donating substituents brings about changes in the connectivity pattern within heterometallic assembly and yields precursor with molecular structure, even in the cases when both homoleptic counterparts either form coordination polymers, do not exist, or produce complex with a different M:M´ ratio. The applicability of the above approach to the synthesis of single-source precursors for multiferroic oxides, oxygen evolution reaction catalysts, and prospective cathode materials will be demonstrated.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CONTROL ID: </w:t>
                  </w:r>
                  <w:r w:rsidRPr="0005639F">
                    <w:rPr>
                      <w:rFonts w:ascii="Times New Roman" w:eastAsia="Times New Roman" w:hAnsi="Times New Roman" w:cs="Times New Roman"/>
                      <w:sz w:val="20"/>
                      <w:szCs w:val="20"/>
                    </w:rPr>
                    <w:t>2247382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Gang Wu</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Chemical and Biological Engineering, University at Buffalo, SUNY, Buffalo,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6" w:anchor="2247382" w:history="1">
                    <w:r w:rsidRPr="0005639F">
                      <w:rPr>
                        <w:rFonts w:ascii="Times New Roman" w:eastAsia="Times New Roman" w:hAnsi="Times New Roman" w:cs="Times New Roman"/>
                        <w:b/>
                        <w:bCs/>
                        <w:color w:val="0000FF"/>
                        <w:sz w:val="20"/>
                        <w:szCs w:val="20"/>
                        <w:u w:val="single"/>
                      </w:rPr>
                      <w:t xml:space="preserve">Nanocarbon Electrocatalysts for Sustainable Electrochemical Energy Storage and Conversion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br/>
                    <w:t>The oxygen reduction reaction (ORR) is one of the most technologically important electrochemical reactions for a variety of electrochemical energy storage and conversion technologies (</w:t>
                  </w:r>
                  <w:r w:rsidRPr="0005639F">
                    <w:rPr>
                      <w:rFonts w:ascii="Times New Roman" w:eastAsia="Times New Roman" w:hAnsi="Times New Roman" w:cs="Times New Roman"/>
                      <w:i/>
                      <w:iCs/>
                      <w:sz w:val="20"/>
                      <w:szCs w:val="20"/>
                    </w:rPr>
                    <w:t>e.g.</w:t>
                  </w:r>
                  <w:r w:rsidRPr="0005639F">
                    <w:rPr>
                      <w:rFonts w:ascii="Times New Roman" w:eastAsia="Times New Roman" w:hAnsi="Times New Roman" w:cs="Times New Roman"/>
                      <w:sz w:val="20"/>
                      <w:szCs w:val="20"/>
                    </w:rPr>
                    <w:t>, fuel cells, metal-air batteries and water splitting). However, due to inherently sluggish kinetics, a large amount of expensive and supply-limited precious metals such as Pt is required as the catalysts for the ORR, greatly hindering the widespread applications of these clean energy technologies. Hence, it is desperately needed to design and develop advanced catalysts from earth-abundant elements, capable of facilitating the ORR at sufficient rates for practical applications. To this end, highly graphitized nanocarbons (e.g., carbon nanotube, graphene sheets, onion-like carbon) with proper heteroatom doping (e.g., nitrogen) has been developed as the most promising nonprecious metal catalysts to replace Pt. Importantly, there is increasing evidence showing that transition metal cations (M) such as Fe and Co are able to bond with nitrogen in various M-N coordinations embedded into the nanocarbon lattices. These complex moieties are furthermore capable of providing significantly improved activity compared to metal-free nitrogen-doped carbon materials.</w:t>
                  </w:r>
                  <w:r w:rsidRPr="0005639F">
                    <w:rPr>
                      <w:rFonts w:ascii="Times New Roman" w:eastAsia="Times New Roman" w:hAnsi="Times New Roman" w:cs="Times New Roman"/>
                      <w:sz w:val="20"/>
                      <w:szCs w:val="20"/>
                    </w:rPr>
                    <w:br/>
                    <w:t xml:space="preserve">In our recent effort, cost-effective nitrogen-doped graphene composites have been prepared </w:t>
                  </w:r>
                  <w:r w:rsidRPr="0005639F">
                    <w:rPr>
                      <w:rFonts w:ascii="Times New Roman" w:eastAsia="Times New Roman" w:hAnsi="Times New Roman" w:cs="Times New Roman"/>
                      <w:i/>
                      <w:iCs/>
                      <w:sz w:val="20"/>
                      <w:szCs w:val="20"/>
                    </w:rPr>
                    <w:t>via</w:t>
                  </w:r>
                  <w:r w:rsidRPr="0005639F">
                    <w:rPr>
                      <w:rFonts w:ascii="Times New Roman" w:eastAsia="Times New Roman" w:hAnsi="Times New Roman" w:cs="Times New Roman"/>
                      <w:sz w:val="20"/>
                      <w:szCs w:val="20"/>
                    </w:rPr>
                    <w:t xml:space="preserve"> the graphitization of inexpensive carbon-nitrogen precursors (e.g., polyaniline), combined with transition metals (Co or Fe) as catalysts, and unique metal-organic frames (MOFs) as templates. As a result, new types of graphene-rich composite catalysts were developed and exhibited substantially improved activity for the ORR in various electrolytes including aqueous and nonaqueous. The synthesis-structure-activity correlations for the carbon nanostructures were further established by tuning their synthetic chemistry (supports, nitrogen precursors, heating temperature, and transition metal types and contents). This allows us to investigate how the resulting morphology and nitrogen-doping functionalities influence the catalyst activity. This unique </w:t>
                  </w:r>
                  <w:r w:rsidRPr="0005639F">
                    <w:rPr>
                      <w:rFonts w:ascii="Times New Roman" w:eastAsia="Times New Roman" w:hAnsi="Times New Roman" w:cs="Times New Roman"/>
                      <w:i/>
                      <w:iCs/>
                      <w:sz w:val="20"/>
                      <w:szCs w:val="20"/>
                    </w:rPr>
                    <w:t>in situ</w:t>
                  </w:r>
                  <w:r w:rsidRPr="0005639F">
                    <w:rPr>
                      <w:rFonts w:ascii="Times New Roman" w:eastAsia="Times New Roman" w:hAnsi="Times New Roman" w:cs="Times New Roman"/>
                      <w:sz w:val="20"/>
                      <w:szCs w:val="20"/>
                    </w:rPr>
                    <w:t xml:space="preserve"> formation of nitrogen-doped nanocarbon electrocatalysts directly from heteroatom polymers provides a new route for preparation of advanced nonprecious metal catalysts for sustainable electrochemical energy storage and conversion applications.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2263116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Narayan C. Das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Sayan Ganguly</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Rubber Technology Centre, Indian Institute of Technology, Kharagpur, WB, India. </w:t>
                  </w:r>
                  <w:r w:rsidRPr="0005639F">
                    <w:rPr>
                      <w:rFonts w:ascii="Times New Roman" w:eastAsia="Times New Roman" w:hAnsi="Times New Roman" w:cs="Times New Roman"/>
                      <w:sz w:val="20"/>
                      <w:szCs w:val="20"/>
                    </w:rPr>
                    <w:br/>
                    <w:t xml:space="preserve">2. Rubber Technology Centre, Indian Institute of Technology, Kharagpur, India.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7" w:anchor="2263116" w:history="1">
                    <w:r w:rsidRPr="0005639F">
                      <w:rPr>
                        <w:rFonts w:ascii="Times New Roman" w:eastAsia="Times New Roman" w:hAnsi="Times New Roman" w:cs="Times New Roman"/>
                        <w:color w:val="0000FF"/>
                        <w:sz w:val="20"/>
                        <w:szCs w:val="20"/>
                        <w:u w:val="single"/>
                      </w:rPr>
                      <w:t>Alligned Multiwalled Carbon Nanotubes based Polymer Nanocomposites via in-Situ Polymerizatio</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Vertically aligned carbon nanotubes (VACNTs) have highly anisotropic properties comparing to random CNT powders like mechanical and electrical properties. Many applications require that VACNTs be mechanically stabilized by incorporating them into polymer matrix. Commonly used methods for preparation of CNT/polymer composites are solution process and in situ polymerization, in which monomers instead of polymers are used as </w:t>
                  </w:r>
                  <w:r w:rsidRPr="0005639F">
                    <w:rPr>
                      <w:rFonts w:ascii="Times New Roman" w:eastAsia="Times New Roman" w:hAnsi="Times New Roman" w:cs="Times New Roman"/>
                      <w:sz w:val="20"/>
                      <w:szCs w:val="20"/>
                    </w:rPr>
                    <w:lastRenderedPageBreak/>
                    <w:t>starting materials. Here, we have synthesized CNT/polymer composites via situ polymerization of polystyrene (PS) with VACNTs. We have investigated morphology VACNTs and VACNTs/PS composites using small angle neutron scattering (SANS) and scanning electron microscopy. The morphology shows rather curved tubes near the substrate both neat VACNTs and composites. The alignment order increases with the distance from the substrate as illustraed in Fig. A. Quantitative alignment order is performed using SANS. 2D SANS pattern on both neat and composite VACNT arrays are shown in Fig 1b. Apparently MWNTs remain aligned in composites upon polymerization. We also used TEM, AFM and GPC to characterize VACNTs/PS composites in details. TEM (Fig. B) shows that MWNTs are well-dispersed in the polymer matrix and structural integrity of MWNTs remain intact as indicated by the neat hollow tube structures.</w:t>
                  </w:r>
                  <w:r w:rsidRPr="0005639F">
                    <w:rPr>
                      <w:rFonts w:ascii="Times New Roman" w:eastAsia="Times New Roman" w:hAnsi="Times New Roman" w:cs="Times New Roman"/>
                      <w:sz w:val="20"/>
                      <w:szCs w:val="20"/>
                    </w:rPr>
                    <w:br/>
                    <w:t>In summary, The order of the tube alignment is enhanced upon polymerization with the lateral confinement. The cause of enhanced alignment is possibly related to the accelerated polymerization among VACNT arrays.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REFERENCES</w:t>
                  </w:r>
                  <w:r w:rsidRPr="0005639F">
                    <w:rPr>
                      <w:rFonts w:ascii="Times New Roman" w:eastAsia="Times New Roman" w:hAnsi="Times New Roman" w:cs="Times New Roman"/>
                      <w:sz w:val="20"/>
                      <w:szCs w:val="20"/>
                    </w:rPr>
                    <w:br/>
                    <w:t xml:space="preserve">1. Wei, Chen.; Dai, L.M.; Roy, A.; Tolle, T. B. </w:t>
                  </w:r>
                  <w:r w:rsidRPr="0005639F">
                    <w:rPr>
                      <w:rFonts w:ascii="Times New Roman" w:eastAsia="Times New Roman" w:hAnsi="Times New Roman" w:cs="Times New Roman"/>
                      <w:i/>
                      <w:iCs/>
                      <w:sz w:val="20"/>
                      <w:szCs w:val="20"/>
                    </w:rPr>
                    <w:t xml:space="preserve">J. Am. Chem. Soc. </w:t>
                  </w:r>
                  <w:r w:rsidRPr="0005639F">
                    <w:rPr>
                      <w:rFonts w:ascii="Times New Roman" w:eastAsia="Times New Roman" w:hAnsi="Times New Roman" w:cs="Times New Roman"/>
                      <w:b/>
                      <w:bCs/>
                      <w:sz w:val="20"/>
                      <w:szCs w:val="20"/>
                    </w:rPr>
                    <w:t>2006</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128,</w:t>
                  </w:r>
                  <w:r w:rsidRPr="0005639F">
                    <w:rPr>
                      <w:rFonts w:ascii="Times New Roman" w:eastAsia="Times New Roman" w:hAnsi="Times New Roman" w:cs="Times New Roman"/>
                      <w:sz w:val="20"/>
                      <w:szCs w:val="20"/>
                    </w:rPr>
                    <w:t xml:space="preserve"> 1412-1413.</w:t>
                  </w:r>
                  <w:r w:rsidRPr="0005639F">
                    <w:rPr>
                      <w:rFonts w:ascii="Times New Roman" w:eastAsia="Times New Roman" w:hAnsi="Times New Roman" w:cs="Times New Roman"/>
                      <w:sz w:val="20"/>
                      <w:szCs w:val="20"/>
                    </w:rPr>
                    <w:br/>
                    <w:t xml:space="preserve">2. Qu, L. T.; Dai, L. M. </w:t>
                  </w:r>
                  <w:r w:rsidRPr="0005639F">
                    <w:rPr>
                      <w:rFonts w:ascii="Times New Roman" w:eastAsia="Times New Roman" w:hAnsi="Times New Roman" w:cs="Times New Roman"/>
                      <w:i/>
                      <w:iCs/>
                      <w:sz w:val="20"/>
                      <w:szCs w:val="20"/>
                    </w:rPr>
                    <w:t>Chem. Commun</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2007</w:t>
                  </w:r>
                  <w:r w:rsidRPr="0005639F">
                    <w:rPr>
                      <w:rFonts w:ascii="Times New Roman" w:eastAsia="Times New Roman" w:hAnsi="Times New Roman" w:cs="Times New Roman"/>
                      <w:sz w:val="20"/>
                      <w:szCs w:val="20"/>
                    </w:rPr>
                    <w:t>, 3859-3861.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2281449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Justin B. Sambur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Cornell University, Brooktondale,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8" w:anchor="2281449" w:history="1">
                    <w:r w:rsidRPr="0005639F">
                      <w:rPr>
                        <w:rFonts w:ascii="Times New Roman" w:eastAsia="Times New Roman" w:hAnsi="Times New Roman" w:cs="Times New Roman"/>
                        <w:color w:val="0000FF"/>
                        <w:sz w:val="20"/>
                        <w:szCs w:val="20"/>
                        <w:u w:val="single"/>
                      </w:rPr>
                      <w:t>Correlating nanoscale reactivity with photocurrent reveals optimal catalyst sites on photoanodes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Photoelectrochemical solar energy conversion to electricity or fuels is often limited by the reactivity of photogenerated holes and electrons on photoelectrode surfaces, requiring modification with catalysts to improve efficiency. It is unclear, however, on what surface sites to optimally deposit catalysts, and to what extent the same surface sites, responsible for fuel-forming reactions, also cause recombination. Here we use super-resolution imaging of hole and electron surface reactivity and sub-nanorod photoelectrochemical measurements to reveal that on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nanorod photoanodes, the sites reactive for water oxidation also contribute most to recombination, and the photocurrent efficiency and onset potential are surprisingly uncorrelated at the nanoscale. Guided by hole and electron reactivity maps, site-selective catalyst deposition on individual nanorods reveals that the optimal sites for oxygen evolution catalysts are the low reactivity and high onset potential sites, contrary to what is obtainable under typical deposition conditions, leading to a strategy for rationally engineering photoelectrodes with catalysts.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 xml:space="preserve">Dear Organizer </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The work described in the Abstract is currently under review in Science. I have been working on the project for four years and believe it is groundbreaking. I recently presented the work at a Gordon Conference: Nanomaterials for Energy Technology (poster), and the work was very well received. I would greatly appreciate the opportunity to give an oral presentation at the 2015 NERM.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0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2283792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 S. Whittingham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NECCES, Binghamton University, Binghamton,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39" w:anchor="2283792" w:history="1">
                    <w:r w:rsidRPr="0005639F">
                      <w:rPr>
                        <w:rFonts w:ascii="Times New Roman" w:eastAsia="Times New Roman" w:hAnsi="Times New Roman" w:cs="Times New Roman"/>
                        <w:color w:val="0000FF"/>
                        <w:sz w:val="20"/>
                        <w:szCs w:val="20"/>
                        <w:u w:val="single"/>
                      </w:rPr>
                      <w:t>The Ultimate Limits of Li-Ion Batteries, and What's Next - A Reality Check on Beyond Li-Ion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Li-Ion batteries, based on intercalation reactions, are around 40 years old. They have steadily increased in performace and now dominate portable energy storage from electroic devices to car and buses. They are also finding use in the grid for load leveling, smoothing and to support renewable resorces such as wind and solar. They have still much room for improvement, and their ultimate limits of around 1 kWh/L and 355 wh/kg at the cell level is still in the future. Some approaches to attain these values will be discussed including 2 Li systems and "Closing the Gap" on the layered oxides, MO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A number of Beyond Li-ion systems have been proposed; a number of these including Li/O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do not pass a reality check. This research is supported by the DOE-EFRC-NECCES at Binghamton.</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2284891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Mathew M. Maye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0" w:anchor="2284891" w:history="1">
                    <w:r w:rsidRPr="0005639F">
                      <w:rPr>
                        <w:rFonts w:ascii="Times New Roman" w:eastAsia="Times New Roman" w:hAnsi="Times New Roman" w:cs="Times New Roman"/>
                        <w:color w:val="0000FF"/>
                        <w:sz w:val="20"/>
                        <w:szCs w:val="20"/>
                        <w:u w:val="single"/>
                      </w:rPr>
                      <w:t>Controlling composition, asymmetry, and internal microstructure of nanomaterials using a core/alloy approach</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This presentation focuses on our recent nanoparticle synthesis strategy that employs atomic interdiffusion at a core/shell interface to produce alloy-terminated nanocrystals. These core/alloy nanoparticles have alloy compositions that are determined by shell thickness, processing temperature, initial core diameter, and surface capping ligand. As a proof of principle, we have fabricated an assortment of noble metal alloy heterostructures. The alloying is preceded by the layer-by-layer deposition of the shell material (i.e., Ag, Pd, Pt), followed by a microwave mediated hydrothermal annealing step, which induces core/shell inter diffusion and alloying. We show the extension of this approach by using alloy phase behavior to drive asymmetric growth of heterostructures with janus-like interfaces. Using these structures, a second novel galvanic replacement reaction step can be used to alter plasmonic properties, structure, and catalytic activity. We thank the NSF for support of this project (DMR-1410569).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2285174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Peter H. Dinolfo</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Chemical Biology, Rensselaer Polytechnic Inst, Troy,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1" w:anchor="2285174" w:history="1">
                    <w:r w:rsidRPr="0005639F">
                      <w:rPr>
                        <w:rFonts w:ascii="Times New Roman" w:eastAsia="Times New Roman" w:hAnsi="Times New Roman" w:cs="Times New Roman"/>
                        <w:b/>
                        <w:bCs/>
                        <w:color w:val="0000FF"/>
                        <w:sz w:val="20"/>
                        <w:szCs w:val="20"/>
                        <w:u w:val="single"/>
                      </w:rPr>
                      <w:t>Multilayer Light Harvesting Arrays for Molecular Based Solar Cells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We have developed a new layer-by-layer (LbL) fabrication technique for the controlled growth of molecular multilayer assemblies on oxide and electrode surfaces. The nanoscale thin-film structures were fabricated using copper(I) catalyzed azide alkyne cycloaddition (CuAAC) as both a means of anchoring the films to the substrate surface and coupling of the individual molecular layers together. The flexibility and versatility of this process permits us to incorporate a wide variety of individual molecular building blocks into the multilayer thin–films. This in turn allows us to target specific electrochemical and photophysical properties for a variety of electro-optical applications including light harvesting arrays for molecular based solar cells. Herein, we describe the optical properties and growth patterns of the multilayer films using a variety of molecular components. Characterization of the thin films by XRR, AFM, XPS, FTIR, optical spectroscopy, and ellipsometry provide a detailed picture of the multilayer structure. The molecular multilayers show consistent growth over tens of layers and moderate ordering in their molecular structure. When assembled on electrode surfaces, the multilayer films display reversible electrochemical charging, but also insulating properties towards solution redox probes. Additionally, multilayer films composed of donor-acceptor building blocks show evidence of efficient Förster resonance energy transfer between chromophores. Finally, preliminary photocurrent data is presented for the multilayer sensitization of ITO electrodes in a Dye-Sensitized Solar Cell configuration.</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2285468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Richard D. Robinson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MSE Department,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2" w:anchor="2285468" w:history="1">
                    <w:r w:rsidRPr="0005639F">
                      <w:rPr>
                        <w:rFonts w:ascii="Times New Roman" w:eastAsia="Times New Roman" w:hAnsi="Times New Roman" w:cs="Times New Roman"/>
                        <w:b/>
                        <w:bCs/>
                        <w:color w:val="0000FF"/>
                        <w:sz w:val="20"/>
                        <w:szCs w:val="20"/>
                        <w:u w:val="single"/>
                      </w:rPr>
                      <w:t xml:space="preserve">Engineering and Assembling Nanoscale Building Blocks for Energy Applications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Our research group works to gain a fundamental understanding of how to program and process nanoscale building blocks into functional structures, and the structure-property relationships of the resulting nanostructured materials. We seek to develop new nano-materials and methods for batteries, supercapacitors, fuel cells, and printable electronics. In this talk I will discuss our recent results overcoming critical challenges to create functional nanostructured assemblies.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I’ll discuss our chemical and structural engineering of cobalt nanoparticles to create additive-free battery electrodes, made without polymeric binders or carbon black. We have found that electrophoretic deposition (EPD) of nanoparticles creates a strong electrical and mechanical bond for the batteries to perform at maximum capacity. This innovation increases the power density by reducing the overall volume.</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We have applied these techniques to make printable electronics: Using our surface treatment methods to link the </w:t>
                  </w:r>
                  <w:r w:rsidRPr="0005639F">
                    <w:rPr>
                      <w:rFonts w:ascii="Times New Roman" w:eastAsia="Times New Roman" w:hAnsi="Times New Roman" w:cs="Times New Roman"/>
                      <w:sz w:val="20"/>
                      <w:szCs w:val="20"/>
                    </w:rPr>
                    <w:lastRenderedPageBreak/>
                    <w:t>nanoparticles, and the EPD method for deposition, we make copper sulfide films with high conductivity and high mobilities. We show that our nanoparticle films have conductivities that are on par with many bulk copper sulfide films (~75 S•cm-1), without the need for heat-treatments.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Finally, I present a comparative study of electrophoretically deposited and dropcast nanoparticulate cobalt oxide thin films for the oxygen reduction/oxygen evolution reactions (ORR and OER). In our work, we compare a conventional dropcast method versus EPD. In examining the film’s catalytic properties we find that the electrophoretically deposited nanoparticles outperform the dropcast films by as much as 2.5× for the oxygen reduction reaction and 2.6× and the oxygen evolution reaction when accounting for both surface area and mass. The critical solution-processing technique that we use to obtain high cataltyic performance is EPD. EPD binds the metal nanoparticles to the surface of the electrode and to each other in an assembly, creating strong electrical contacts between the particles and electrodes. This process results in this significant catalytic improvement in oxygen reduction/evolution performance which cannot be duplicated by dropcast films with the same loading.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2288007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Linyue Tong</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Kenneth H. Skorenko</w:t>
                  </w:r>
                  <w:r w:rsidRPr="0005639F">
                    <w:rPr>
                      <w:rFonts w:ascii="Times New Roman" w:eastAsia="Times New Roman" w:hAnsi="Times New Roman" w:cs="Times New Roman"/>
                      <w:sz w:val="20"/>
                      <w:szCs w:val="20"/>
                      <w:vertAlign w:val="superscript"/>
                    </w:rPr>
                    <w:t>5</w:t>
                  </w:r>
                  <w:r w:rsidRPr="0005639F">
                    <w:rPr>
                      <w:rFonts w:ascii="Times New Roman" w:eastAsia="Times New Roman" w:hAnsi="Times New Roman" w:cs="Times New Roman"/>
                      <w:sz w:val="20"/>
                      <w:szCs w:val="20"/>
                    </w:rPr>
                    <w:t>, Austin Faucett</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Steve M. Boyer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Jian Liu</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Jeffrey Mativetsky</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William Bernier</w:t>
                  </w:r>
                  <w:r w:rsidRPr="0005639F">
                    <w:rPr>
                      <w:rFonts w:ascii="Times New Roman" w:eastAsia="Times New Roman" w:hAnsi="Times New Roman" w:cs="Times New Roman"/>
                      <w:sz w:val="20"/>
                      <w:szCs w:val="20"/>
                      <w:vertAlign w:val="superscript"/>
                    </w:rPr>
                    <w:t>6</w:t>
                  </w:r>
                  <w:r w:rsidRPr="0005639F">
                    <w:rPr>
                      <w:rFonts w:ascii="Times New Roman" w:eastAsia="Times New Roman" w:hAnsi="Times New Roman" w:cs="Times New Roman"/>
                      <w:sz w:val="20"/>
                      <w:szCs w:val="20"/>
                    </w:rPr>
                    <w:t>, Wayne E. Jones</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Binghamton University, Binghamton, NY, United States. </w:t>
                  </w:r>
                  <w:r w:rsidRPr="0005639F">
                    <w:rPr>
                      <w:rFonts w:ascii="Times New Roman" w:eastAsia="Times New Roman" w:hAnsi="Times New Roman" w:cs="Times New Roman"/>
                      <w:sz w:val="20"/>
                      <w:szCs w:val="20"/>
                    </w:rPr>
                    <w:br/>
                    <w:t xml:space="preserve">2. Chemistry, SUNY-Binghamton University, Binghamton, NY, United States. </w:t>
                  </w:r>
                  <w:r w:rsidRPr="0005639F">
                    <w:rPr>
                      <w:rFonts w:ascii="Times New Roman" w:eastAsia="Times New Roman" w:hAnsi="Times New Roman" w:cs="Times New Roman"/>
                      <w:sz w:val="20"/>
                      <w:szCs w:val="20"/>
                    </w:rPr>
                    <w:br/>
                    <w:t xml:space="preserve">3. Department of Chemistry, State University of New York at Binghamton, Binghamton, NY, United States. </w:t>
                  </w:r>
                  <w:r w:rsidRPr="0005639F">
                    <w:rPr>
                      <w:rFonts w:ascii="Times New Roman" w:eastAsia="Times New Roman" w:hAnsi="Times New Roman" w:cs="Times New Roman"/>
                      <w:sz w:val="20"/>
                      <w:szCs w:val="20"/>
                    </w:rPr>
                    <w:br/>
                    <w:t xml:space="preserve">4. Physics, State University of New York at Binghamton, Binghamton, NY, United States. </w:t>
                  </w:r>
                  <w:r w:rsidRPr="0005639F">
                    <w:rPr>
                      <w:rFonts w:ascii="Times New Roman" w:eastAsia="Times New Roman" w:hAnsi="Times New Roman" w:cs="Times New Roman"/>
                      <w:sz w:val="20"/>
                      <w:szCs w:val="20"/>
                    </w:rPr>
                    <w:br/>
                    <w:t xml:space="preserve">5. chemistry, State University of New York at Binghamton, Binghamton, NY, United States. </w:t>
                  </w:r>
                  <w:r w:rsidRPr="0005639F">
                    <w:rPr>
                      <w:rFonts w:ascii="Times New Roman" w:eastAsia="Times New Roman" w:hAnsi="Times New Roman" w:cs="Times New Roman"/>
                      <w:sz w:val="20"/>
                      <w:szCs w:val="20"/>
                    </w:rPr>
                    <w:br/>
                    <w:t xml:space="preserve">6. chemistry, State University of New York at Binghamton, Binghamton,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3" w:anchor="2288007" w:history="1">
                    <w:r w:rsidRPr="0005639F">
                      <w:rPr>
                        <w:rFonts w:ascii="Times New Roman" w:eastAsia="Times New Roman" w:hAnsi="Times New Roman" w:cs="Times New Roman"/>
                        <w:color w:val="0000FF"/>
                        <w:sz w:val="20"/>
                        <w:szCs w:val="20"/>
                        <w:u w:val="single"/>
                      </w:rPr>
                      <w:t>Vapor-Phase Polymerized Poly(3,4-ethylenedioxythiophene) (PEDOT) on Carbon Coated Aluminum Foil as Supercapacitor Electrodes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Laminar composite electrodes were prepared for supercapacitors using a catalyzed vapor-phase polymerization (VPP) of 3,4-ethylenedioxythiophene (EDOT) on the surface of commercial carbon coated aluminum foil. These highly electrically conducting polymer films provided for rapid and stable power storage per gram at room temperature. The chemical composition, surface morphology and electrical properties were characterized by Raman spectroscopy, scanning electron microscopy (SEM), and conducting atomic force microscopy (C-AFM). A series of electrical measurements including cyclic voltammetry (CV), charge-discharge (CD) and electrochemical impedance spectroscopy were also used to evaluate electrical performance. The processing temperature of VPP showed a significant effect on PEDOT morphology, the degree of orientation and its electrical properties. The relatively high temperature led to high specific area and large conductive domains of PEDOT layer which benefited the capacitive behavior greatly according to the data presented. Since the substrate was already highly conductive, the PEDOT based composite could be used as electrode materials directly without adding current collector. By this simple and efficient process, PEDOT based composites exhibited specific capacitance up to 134 F/g with the polymerization temperature of 110 °C.</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2291921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Materials for Energy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Huafeng Huang</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Alexandra Reinert</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Elizabeth Sklute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Timothy Glotch</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Peter Khalifah</w:t>
                  </w:r>
                  <w:r w:rsidRPr="0005639F">
                    <w:rPr>
                      <w:rFonts w:ascii="Times New Roman" w:eastAsia="Times New Roman" w:hAnsi="Times New Roman" w:cs="Times New Roman"/>
                      <w:sz w:val="20"/>
                      <w:szCs w:val="20"/>
                      <w:vertAlign w:val="superscript"/>
                    </w:rPr>
                    <w:t>1, 2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Stony Brook University, Stony Brook, NY, United States. </w:t>
                  </w:r>
                  <w:r w:rsidRPr="0005639F">
                    <w:rPr>
                      <w:rFonts w:ascii="Times New Roman" w:eastAsia="Times New Roman" w:hAnsi="Times New Roman" w:cs="Times New Roman"/>
                      <w:sz w:val="20"/>
                      <w:szCs w:val="20"/>
                    </w:rPr>
                    <w:br/>
                    <w:t xml:space="preserve">2. Department of Chemistry, Brookhaven National Laboratory, Upton, NY, United States. </w:t>
                  </w:r>
                  <w:r w:rsidRPr="0005639F">
                    <w:rPr>
                      <w:rFonts w:ascii="Times New Roman" w:eastAsia="Times New Roman" w:hAnsi="Times New Roman" w:cs="Times New Roman"/>
                      <w:sz w:val="20"/>
                      <w:szCs w:val="20"/>
                    </w:rPr>
                    <w:br/>
                    <w:t xml:space="preserve">3. Department of Geosciences, Stony Brook University, Stony Brook,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4" w:anchor="2291921" w:history="1">
                    <w:r w:rsidRPr="0005639F">
                      <w:rPr>
                        <w:rFonts w:ascii="Times New Roman" w:eastAsia="Times New Roman" w:hAnsi="Times New Roman" w:cs="Times New Roman"/>
                        <w:color w:val="0000FF"/>
                        <w:sz w:val="20"/>
                        <w:szCs w:val="20"/>
                        <w:u w:val="single"/>
                      </w:rPr>
                      <w:t>Improved synthetic methods and optical properties of (GaN)</w:t>
                    </w:r>
                    <w:r w:rsidRPr="0005639F">
                      <w:rPr>
                        <w:rFonts w:ascii="Times New Roman" w:eastAsia="Times New Roman" w:hAnsi="Times New Roman" w:cs="Times New Roman"/>
                        <w:color w:val="0000FF"/>
                        <w:sz w:val="20"/>
                        <w:szCs w:val="20"/>
                        <w:u w:val="single"/>
                        <w:vertAlign w:val="subscript"/>
                      </w:rPr>
                      <w:t>1-x</w:t>
                    </w:r>
                    <w:r w:rsidRPr="0005639F">
                      <w:rPr>
                        <w:rFonts w:ascii="Times New Roman" w:eastAsia="Times New Roman" w:hAnsi="Times New Roman" w:cs="Times New Roman"/>
                        <w:color w:val="0000FF"/>
                        <w:sz w:val="20"/>
                        <w:szCs w:val="20"/>
                        <w:u w:val="single"/>
                      </w:rPr>
                      <w:t>(ZnO)</w:t>
                    </w:r>
                    <w:r w:rsidRPr="0005639F">
                      <w:rPr>
                        <w:rFonts w:ascii="Times New Roman" w:eastAsia="Times New Roman" w:hAnsi="Times New Roman" w:cs="Times New Roman"/>
                        <w:color w:val="0000FF"/>
                        <w:sz w:val="20"/>
                        <w:szCs w:val="20"/>
                        <w:u w:val="single"/>
                        <w:vertAlign w:val="subscript"/>
                      </w:rPr>
                      <w:t>x</w:t>
                    </w:r>
                    <w:r w:rsidRPr="0005639F">
                      <w:rPr>
                        <w:rFonts w:ascii="Times New Roman" w:eastAsia="Times New Roman" w:hAnsi="Times New Roman" w:cs="Times New Roman"/>
                        <w:color w:val="0000FF"/>
                        <w:sz w:val="20"/>
                        <w:szCs w:val="20"/>
                        <w:u w:val="single"/>
                      </w:rPr>
                      <w:t xml:space="preserve"> semiconductors for visible light harvesting</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(GaN)</w:t>
                  </w:r>
                  <w:r w:rsidRPr="0005639F">
                    <w:rPr>
                      <w:rFonts w:ascii="Times New Roman" w:eastAsia="Times New Roman" w:hAnsi="Times New Roman" w:cs="Times New Roman"/>
                      <w:sz w:val="20"/>
                      <w:szCs w:val="20"/>
                      <w:vertAlign w:val="subscript"/>
                    </w:rPr>
                    <w:t>1-x</w:t>
                  </w:r>
                  <w:r w:rsidRPr="0005639F">
                    <w:rPr>
                      <w:rFonts w:ascii="Times New Roman" w:eastAsia="Times New Roman" w:hAnsi="Times New Roman" w:cs="Times New Roman"/>
                      <w:sz w:val="20"/>
                      <w:szCs w:val="20"/>
                    </w:rPr>
                    <w:t>(ZnO)</w:t>
                  </w:r>
                  <w:r w:rsidRPr="0005639F">
                    <w:rPr>
                      <w:rFonts w:ascii="Times New Roman" w:eastAsia="Times New Roman" w:hAnsi="Times New Roman" w:cs="Times New Roman"/>
                      <w:sz w:val="20"/>
                      <w:szCs w:val="20"/>
                      <w:vertAlign w:val="subscript"/>
                    </w:rPr>
                    <w:t>x</w:t>
                  </w:r>
                  <w:r w:rsidRPr="0005639F">
                    <w:rPr>
                      <w:rFonts w:ascii="Times New Roman" w:eastAsia="Times New Roman" w:hAnsi="Times New Roman" w:cs="Times New Roman"/>
                      <w:sz w:val="20"/>
                      <w:szCs w:val="20"/>
                    </w:rPr>
                    <w:t xml:space="preserve"> solid solution is one of the most effective single semiconductor systems for driving overall water splitting using visible light. However, the maximum quantum efficiency for water splitting reported for this system after functionalization with appropriate co-catalysts is not high (~6%). We have reinvestigated this system in order to systematically investigate the influence of composition and carrier concentration of the physical properties that most strongly influence the photoelectrochemical performance of this system. Homogenous powders were synthesized and characterized over a much wider range of compositions (0.2 &lt; </w:t>
                  </w:r>
                  <w:r w:rsidRPr="0005639F">
                    <w:rPr>
                      <w:rFonts w:ascii="Times New Roman" w:eastAsia="Times New Roman" w:hAnsi="Times New Roman" w:cs="Times New Roman"/>
                      <w:i/>
                      <w:iCs/>
                      <w:sz w:val="20"/>
                      <w:szCs w:val="20"/>
                    </w:rPr>
                    <w:t>x</w:t>
                  </w:r>
                  <w:r w:rsidRPr="0005639F">
                    <w:rPr>
                      <w:rFonts w:ascii="Times New Roman" w:eastAsia="Times New Roman" w:hAnsi="Times New Roman" w:cs="Times New Roman"/>
                      <w:sz w:val="20"/>
                      <w:szCs w:val="20"/>
                    </w:rPr>
                    <w:t xml:space="preserve"> &lt; 0.95) than in previous studies, and the dependence of band gap on composition has been investigated. It is also demonstrated that IR spectroscopy (at energies below the band gap energy) can provide important information about the charge carriers in this system and demonstrate key optical signatures associated with the free carriers. Furthermore, we show that diffuse reflectance data can be used to obtain estimates of the absolute absorption coefficient of these semiconductor powders, data which has not previously been available.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2220499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Ronald Bonaccorso</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5" w:anchor="2220499" w:history="1">
                    <w:r w:rsidRPr="0005639F">
                      <w:rPr>
                        <w:rFonts w:ascii="Times New Roman" w:eastAsia="Times New Roman" w:hAnsi="Times New Roman" w:cs="Times New Roman"/>
                        <w:color w:val="0000FF"/>
                        <w:sz w:val="20"/>
                        <w:szCs w:val="20"/>
                        <w:u w:val="single"/>
                      </w:rPr>
                      <w:t>Oral Peptide Delivery Through the Vitamin B</w:t>
                    </w:r>
                    <w:r w:rsidRPr="0005639F">
                      <w:rPr>
                        <w:rFonts w:ascii="Times New Roman" w:eastAsia="Times New Roman" w:hAnsi="Times New Roman" w:cs="Times New Roman"/>
                        <w:color w:val="0000FF"/>
                        <w:sz w:val="20"/>
                        <w:szCs w:val="20"/>
                        <w:u w:val="single"/>
                        <w:vertAlign w:val="subscript"/>
                      </w:rPr>
                      <w:t>12</w:t>
                    </w:r>
                    <w:r w:rsidRPr="0005639F">
                      <w:rPr>
                        <w:rFonts w:ascii="Times New Roman" w:eastAsia="Times New Roman" w:hAnsi="Times New Roman" w:cs="Times New Roman"/>
                        <w:color w:val="0000FF"/>
                        <w:sz w:val="20"/>
                        <w:szCs w:val="20"/>
                        <w:u w:val="single"/>
                      </w:rPr>
                      <w:t xml:space="preserve"> Dietary Uptake Pathway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vitamin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dietary uptake pathway is actively being explored as a method for oral drug delivery. The oral delivery of peptides faces many challenges including poor enterocyte passage and rapid degradation. Conjugation to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may address both of these challenges, as long as the conjugate retains binding to the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binding proteins. A potent frontline pharmaceutical peptide currently administered only through subcutaneous injection has been conjugated to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and is currently being tested as a lead compound.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-peptide conjugation was achieved through copper mediated click chemistry. A series of conjugates with differing linker lengths were made to optimize function at the receptor. Through use of HEK cells stably transfected with the receptor and infected with adenovirus incorporating a PKA response element, an EC</w:t>
                  </w:r>
                  <w:r w:rsidRPr="0005639F">
                    <w:rPr>
                      <w:rFonts w:ascii="Times New Roman" w:eastAsia="Times New Roman" w:hAnsi="Times New Roman" w:cs="Times New Roman"/>
                      <w:sz w:val="20"/>
                      <w:szCs w:val="20"/>
                      <w:vertAlign w:val="subscript"/>
                    </w:rPr>
                    <w:t>50</w:t>
                  </w:r>
                  <w:r w:rsidRPr="0005639F">
                    <w:rPr>
                      <w:rFonts w:ascii="Times New Roman" w:eastAsia="Times New Roman" w:hAnsi="Times New Roman" w:cs="Times New Roman"/>
                      <w:sz w:val="20"/>
                      <w:szCs w:val="20"/>
                    </w:rPr>
                    <w:t xml:space="preserve"> of each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-peptide was determined. In vitro and in vivo experiments are ongoing and should provide insight into using the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uptake </w:t>
                  </w:r>
                  <w:r w:rsidRPr="0005639F">
                    <w:rPr>
                      <w:rFonts w:ascii="Times New Roman" w:eastAsia="Times New Roman" w:hAnsi="Times New Roman" w:cs="Times New Roman"/>
                      <w:sz w:val="20"/>
                      <w:szCs w:val="20"/>
                    </w:rPr>
                    <w:lastRenderedPageBreak/>
                    <w:t>pathway as a route for oral peptide delivery.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2242168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Alexander S. Bayden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Joseph Audie</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David J. Diller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CMDBioscience, Inc., Hamden, CT, United States. </w:t>
                  </w:r>
                  <w:r w:rsidRPr="0005639F">
                    <w:rPr>
                      <w:rFonts w:ascii="Times New Roman" w:eastAsia="Times New Roman" w:hAnsi="Times New Roman" w:cs="Times New Roman"/>
                      <w:sz w:val="20"/>
                      <w:szCs w:val="20"/>
                    </w:rPr>
                    <w:br/>
                    <w:t xml:space="preserve">2. Department of Chemistry, Sacred Heart University, Fairfield,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6" w:anchor="2242168" w:history="1">
                    <w:r w:rsidRPr="0005639F">
                      <w:rPr>
                        <w:rFonts w:ascii="Times New Roman" w:eastAsia="Times New Roman" w:hAnsi="Times New Roman" w:cs="Times New Roman"/>
                        <w:color w:val="0000FF"/>
                        <w:sz w:val="20"/>
                        <w:szCs w:val="20"/>
                        <w:u w:val="single"/>
                      </w:rPr>
                      <w:t>Addressing proteolytic stability challenges in peptide-based drug discovery using a combined cheminformatic and bioinformatic approach</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We have created models to predict cleavage sites for several human proteases. Rather than representing sequence patterns around the potential cleavage sites through series of flags, with each flag representing one of the 20 standard amino acids, we first represent each amino acid by its calculated properties. For individual amino acid descriptors, we use validated cheminformatic descriptors, such as molecular weight, logP, and polar surface area. The cleavage-site-specific descriptors are then calculated from the individual amino acid descriptors for the residues surrounding a potential cleavage site. The key advantage of this approach is that it allows one to do meaningful calculations with nonstandard amino acids for which little or no data exists and allows for natural generalization as more data on nonstandard amino acids becomes available. Further we demonstrate how protease crystal structures can enrich these sequence-based models beyond the available proteolysis data.</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2282389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Poonam shukla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University of Delhi, Delhi, Delhi, India.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7" w:anchor="2282389" w:history="1">
                    <w:r w:rsidRPr="0005639F">
                      <w:rPr>
                        <w:rFonts w:ascii="Times New Roman" w:eastAsia="Times New Roman" w:hAnsi="Times New Roman" w:cs="Times New Roman"/>
                        <w:b/>
                        <w:bCs/>
                        <w:color w:val="0000FF"/>
                        <w:sz w:val="20"/>
                        <w:szCs w:val="20"/>
                        <w:u w:val="single"/>
                      </w:rPr>
                      <w:t>Flavonoids &amp; its Complexes in the Treatment of Diabetes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Abstract: NIDDM</w:t>
                  </w:r>
                  <w:r w:rsidRPr="0005639F">
                    <w:rPr>
                      <w:rFonts w:ascii="Times New Roman" w:eastAsia="Times New Roman" w:hAnsi="Times New Roman" w:cs="Times New Roman"/>
                      <w:sz w:val="20"/>
                      <w:szCs w:val="20"/>
                    </w:rPr>
                    <w:t xml:space="preserve"> (Non-insulin dependent diabetes mellitus), a metabolic disorder leading to chronic morbidity and increasing mortality due to changing life styles particularly in urban Indian population. Different module of drugs targeting insulin modulation are known to treat the disease as insulin sensitizer and/or stimulator of insulin secretion. However due to non-responsiveness of patients after treatment for some time, requires drugs acting with some other mechanisms. Agonists of β</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-adrenergic and PPAR receptor modulators stimulate the oxidative pathway to dissipate heat without the synthesis of ATP and thereby lower plasma sugar and lipids profiles. Oxidative stress plays a key role in diabetes for macrovascular complications.</w:t>
                  </w:r>
                  <w:r w:rsidRPr="0005639F">
                    <w:rPr>
                      <w:rFonts w:ascii="Times New Roman" w:eastAsia="Times New Roman" w:hAnsi="Times New Roman" w:cs="Times New Roman"/>
                      <w:sz w:val="20"/>
                      <w:szCs w:val="20"/>
                    </w:rPr>
                    <w:br/>
                    <w:t xml:space="preserve">Flavonoids are polyphenolic compounds that are ubiquitous in nature and are categorized, according to chemical </w:t>
                  </w:r>
                  <w:r w:rsidRPr="0005639F">
                    <w:rPr>
                      <w:rFonts w:ascii="Times New Roman" w:eastAsia="Times New Roman" w:hAnsi="Times New Roman" w:cs="Times New Roman"/>
                      <w:sz w:val="20"/>
                      <w:szCs w:val="20"/>
                    </w:rPr>
                    <w:lastRenderedPageBreak/>
                    <w:t>structure, into flavonols, flavones, flavanones, isoflavones, catechins, anthocyanidins and chalcones. The flavonoids have aroused considerable interest recently because of their potential beneficial effects on human health. An imbalance between antioxidants and ROS results in oxidative stress, leading to cellular damage. Oxidative stress has been linked to different diseases. Flavonoids are known to possess antioxidant property which therefore led us to utilize them for synthesis of hybrid molecules for the treatment of diabetes.</w:t>
                  </w:r>
                  <w:r w:rsidRPr="0005639F">
                    <w:rPr>
                      <w:rFonts w:ascii="Times New Roman" w:eastAsia="Times New Roman" w:hAnsi="Times New Roman" w:cs="Times New Roman"/>
                      <w:sz w:val="20"/>
                      <w:szCs w:val="20"/>
                    </w:rPr>
                    <w:br/>
                    <w:t>The inhibition of PTP-1B is a potential target for treatment of type-2 diabetes. V &amp; Zn complexes have insulin-enhancing activities, and while vanadium compounds inhibit PTP-1B, little is known on the mode of action about Zn compounds.</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xml:space="preserve"> V is not only an important trace element for organisms but also the necessary element for human body. It has been demonstrated that many V-Compounds possess therapeutic effects as insulin mimetics.</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xml:space="preserve"> Many clinical trials of V-compounds have also been reported</w:t>
                  </w:r>
                  <w:r w:rsidRPr="0005639F">
                    <w:rPr>
                      <w:rFonts w:ascii="Times New Roman" w:eastAsia="Times New Roman" w:hAnsi="Times New Roman" w:cs="Times New Roman"/>
                      <w:sz w:val="20"/>
                      <w:szCs w:val="20"/>
                      <w:vertAlign w:val="superscript"/>
                    </w:rPr>
                    <w:t>3, 4</w:t>
                  </w:r>
                  <w:r w:rsidRPr="0005639F">
                    <w:rPr>
                      <w:rFonts w:ascii="Times New Roman" w:eastAsia="Times New Roman" w:hAnsi="Times New Roman" w:cs="Times New Roman"/>
                      <w:sz w:val="20"/>
                      <w:szCs w:val="20"/>
                    </w:rPr>
                    <w:t xml:space="preserve"> in which vanadium salts such as VOSO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and NaVO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xml:space="preserve"> were administered to diabetic patients. There are various V and Zn compounds have reported for anti-diabetic activity.</w:t>
                  </w:r>
                  <w:r w:rsidRPr="0005639F">
                    <w:rPr>
                      <w:rFonts w:ascii="Times New Roman" w:eastAsia="Times New Roman" w:hAnsi="Times New Roman" w:cs="Times New Roman"/>
                      <w:sz w:val="20"/>
                      <w:szCs w:val="20"/>
                    </w:rPr>
                    <w:br/>
                    <w:t>On the basis of above points, I have synthesized the flaovonoids and its metal complxes for antidiabetic activity.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r w:rsidRPr="0005639F">
                    <w:rPr>
                      <w:rFonts w:ascii="Times New Roman" w:eastAsia="Times New Roman" w:hAnsi="Times New Roman" w:cs="Times New Roman"/>
                      <w:sz w:val="20"/>
                      <w:szCs w:val="20"/>
                    </w:rPr>
                    <w:t>Thanks for organizing this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2283105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John C. Edwards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Anton Bzhelyansky</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Kristie M. Adams</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Process NMR Assoc LLC, Danbury, CT, United States. </w:t>
                  </w:r>
                  <w:r w:rsidRPr="0005639F">
                    <w:rPr>
                      <w:rFonts w:ascii="Times New Roman" w:eastAsia="Times New Roman" w:hAnsi="Times New Roman" w:cs="Times New Roman"/>
                      <w:sz w:val="20"/>
                      <w:szCs w:val="20"/>
                    </w:rPr>
                    <w:br/>
                    <w:t xml:space="preserve">2. Dietary Supplements, United States Pharmacopeial Convention, Rockville, MD, United States. </w:t>
                  </w:r>
                  <w:r w:rsidRPr="0005639F">
                    <w:rPr>
                      <w:rFonts w:ascii="Times New Roman" w:eastAsia="Times New Roman" w:hAnsi="Times New Roman" w:cs="Times New Roman"/>
                      <w:sz w:val="20"/>
                      <w:szCs w:val="20"/>
                    </w:rPr>
                    <w:br/>
                    <w:t xml:space="preserve">3. United States Pharmacopeial Convention, Rockville,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8" w:anchor="2283105" w:history="1">
                    <w:r w:rsidRPr="0005639F">
                      <w:rPr>
                        <w:rFonts w:ascii="Times New Roman" w:eastAsia="Times New Roman" w:hAnsi="Times New Roman" w:cs="Times New Roman"/>
                        <w:b/>
                        <w:bCs/>
                        <w:color w:val="0000FF"/>
                        <w:sz w:val="20"/>
                        <w:szCs w:val="20"/>
                        <w:u w:val="single"/>
                      </w:rPr>
                      <w:t>Survey of Low Field NMR Spectrometer Platforms for Successful Screening of Sexual Enhancement and Weight Loss Supplements for Adulteration with Drugs and Drug Analogs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adulteration of dietary supplements (or natural health products) with synthetic pharmaceuticals is an area of increasing concern, which presents substantial risk to public health. Widely available in retail and via the Internet, these products are often marketed as sexual enhancement, weight loss and/or bodybuilding supplements.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Development of analytical tools for screening and identification of adulterated products in the marketplace represents a significant step forward in the fight against adulterated dietary supplements. Several organizations, including AOAC and USP, have undertaken initiatives to evaluate and recommend analytical methodologies for screening supplements for adulteration. HPLC and mass spectrometry have so far dominated the screening and quantitation studies published in the literature, with NMR spectroscopy often relegated to the status of structure elucidation tool. In this work, we investigate the ability of several-low field NMR spectrometric platforms to successfully identify and quantify the presence of adulterating drug substances in sexual enhancement and weight loss supplements purchased online and in US retail.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H qNMR of both types of samples was performed with 300 MHz NMR to confirm the presence of adulterants such as sildenafil, tadalafil, and their structural analogues (sexual enhancement supplements) and various synthetic stimulants (weight loss supplements). We have concluded that a simple sample preparation protocol combined with straightforward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H NMR spectroscopic analysis yields a rapid, robust and reliable screening test for adulterated supplements, presenting an attractive alternative to more labor-intensive, expensive and expertise-demanding techniques </w:t>
                  </w:r>
                  <w:r w:rsidRPr="0005639F">
                    <w:rPr>
                      <w:rFonts w:ascii="Times New Roman" w:eastAsia="Times New Roman" w:hAnsi="Times New Roman" w:cs="Times New Roman"/>
                      <w:i/>
                      <w:iCs/>
                      <w:sz w:val="20"/>
                      <w:szCs w:val="20"/>
                    </w:rPr>
                    <w:t>du jour</w:t>
                  </w:r>
                  <w:r w:rsidRPr="0005639F">
                    <w:rPr>
                      <w:rFonts w:ascii="Times New Roman" w:eastAsia="Times New Roman" w:hAnsi="Times New Roman" w:cs="Times New Roman"/>
                      <w:sz w:val="20"/>
                      <w:szCs w:val="20"/>
                    </w:rPr>
                    <w: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1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2286136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Jayme L. workinger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Robert P. Doyle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49" w:anchor="2286136" w:history="1">
                    <w:r w:rsidRPr="0005639F">
                      <w:rPr>
                        <w:rFonts w:ascii="Times New Roman" w:eastAsia="Times New Roman" w:hAnsi="Times New Roman" w:cs="Times New Roman"/>
                        <w:color w:val="0000FF"/>
                        <w:sz w:val="20"/>
                        <w:szCs w:val="20"/>
                        <w:u w:val="single"/>
                      </w:rPr>
                      <w:t>Investigation of a Vitamin B</w:t>
                    </w:r>
                    <w:r w:rsidRPr="0005639F">
                      <w:rPr>
                        <w:rFonts w:ascii="Times New Roman" w:eastAsia="Times New Roman" w:hAnsi="Times New Roman" w:cs="Times New Roman"/>
                        <w:color w:val="0000FF"/>
                        <w:sz w:val="20"/>
                        <w:szCs w:val="20"/>
                        <w:u w:val="single"/>
                        <w:vertAlign w:val="subscript"/>
                      </w:rPr>
                      <w:t>12</w:t>
                    </w:r>
                    <w:r w:rsidRPr="0005639F">
                      <w:rPr>
                        <w:rFonts w:ascii="Times New Roman" w:eastAsia="Times New Roman" w:hAnsi="Times New Roman" w:cs="Times New Roman"/>
                        <w:color w:val="0000FF"/>
                        <w:sz w:val="20"/>
                        <w:szCs w:val="20"/>
                        <w:u w:val="single"/>
                      </w:rPr>
                      <w:t xml:space="preserve"> Conjugate as a PET Imaging Probe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&lt;!--StartFragment--&gt;</w:t>
                  </w:r>
                  <w:r w:rsidRPr="0005639F">
                    <w:rPr>
                      <w:rFonts w:ascii="Times New Roman" w:eastAsia="Times New Roman" w:hAnsi="Times New Roman" w:cs="Times New Roman"/>
                      <w:sz w:val="20"/>
                      <w:szCs w:val="20"/>
                    </w:rPr>
                    <w:br/>
                    <w:t>High nutrient demand is a major characteristic of rapidly proliferating cells. Vitamin B12 (B12) is an essential nutrient for all mammals and is vital for cell proliferation. In this study, we exploited a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derivative in detection of preclinical tumor models. Herein, we describe the synthesis and biological evaluation of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-ethylenediamine-benzyl-1,4,7-triazocyclononane-N,N’,N’’-triacetic acid, the first example of a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derivative for positron emission tomography imaging (PET). Small animal imaging shows high tumor uptake at 6 h post-administration. Competition with excess native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resulted in a 95% decrease in tumor accumulation, thus indicating the specificity of this radiopharmaceutical for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endocytosis transport. These results show that a B</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PET radiopharmaceutical has potential utility for non-invasive imaging.</w:t>
                  </w:r>
                  <w:r w:rsidRPr="0005639F">
                    <w:rPr>
                      <w:rFonts w:ascii="Times New Roman" w:eastAsia="Times New Roman" w:hAnsi="Times New Roman" w:cs="Times New Roman"/>
                      <w:sz w:val="20"/>
                      <w:szCs w:val="20"/>
                    </w:rPr>
                    <w:br/>
                    <w:t>&lt;!--EndFragment--&gt;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2290273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Kestutis G. Bendinskas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360 Shineman, SUNY College at Oswego, Oswego,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0" w:anchor="2290273" w:history="1">
                    <w:r w:rsidRPr="0005639F">
                      <w:rPr>
                        <w:rFonts w:ascii="Times New Roman" w:eastAsia="Times New Roman" w:hAnsi="Times New Roman" w:cs="Times New Roman"/>
                        <w:color w:val="0000FF"/>
                        <w:sz w:val="20"/>
                        <w:szCs w:val="20"/>
                        <w:u w:val="single"/>
                      </w:rPr>
                      <w:t>Effects of Environmental Lead and Mercury on Cadiovascular System, Inflamatory Markers, and Sleep in Adolescents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In a cross-sectional study of 9–11 year old children (N=100), we found that children who consumed fish had a significantly more atheroprotective lipid profile but higher levels of blood Hg relative to children that did not consume fish. Increasing blood Hg was significantly associated with blunted diurnal cortisol levels. Blood Hg was also significantly associated with acute-phase proteins. In a sample of 140 children with very low levels of blood Pb, we found that increasing blood Pb was associated with coinhibition of sympathetic and parasympathetic activation in response to acute stress. Increasing Pb levels were associated with significantly greater vascular resistance and reduced stroke volume and cardiac output. In a smaller study (N=34), sixteen proteins exhibited expressional differences in the presence of environmental lead and mercury. To understand effects of metals on human serum better, we used metal affinity chromatography to enrich a fraction of human serum proteins on immobilized columns loaded with cadmium, nickel, zinc, copper, or lead. The binding of complement C3, alpha-2-macroglobulin, serum albumin, apolipoprotein B- 100, complement component 4B preproprotein, apolipoprotein A–I, serotransferrin, alpha-1-antitrypsin, ceruloplasmin, 47 kDa protein, uncharacterized protein DKFZp686P15220, transthyretin, hemopexin, inter-alpha-trypsin inhibitor heavy chain H2, and histidine-rich glycoprotein to different metals using immobilized metal affinity chromatography was compared to the literature. </w:t>
                  </w:r>
                  <w:r w:rsidRPr="0005639F">
                    <w:rPr>
                      <w:rFonts w:ascii="Times New Roman" w:eastAsia="Times New Roman" w:hAnsi="Times New Roman" w:cs="Times New Roman"/>
                      <w:sz w:val="20"/>
                      <w:szCs w:val="20"/>
                    </w:rPr>
                    <w:lastRenderedPageBreak/>
                    <w:t>New metal-binding proteins have been identified. The metal array use in the proteomic biomarker search technologies gives this set of data particular importance.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r w:rsidRPr="0005639F">
                    <w:rPr>
                      <w:rFonts w:ascii="Times New Roman" w:eastAsia="Times New Roman" w:hAnsi="Times New Roman" w:cs="Times New Roman"/>
                      <w:sz w:val="20"/>
                      <w:szCs w:val="20"/>
                    </w:rPr>
                    <w:t>It could be in environmental chemistry oral presentation section as well.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2267277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David J. Diller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Jon T. Swanson</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Alexander S. Bayden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Mark A. Jarosinski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Joseph Audie</w:t>
                  </w:r>
                  <w:r w:rsidRPr="0005639F">
                    <w:rPr>
                      <w:rFonts w:ascii="Times New Roman" w:eastAsia="Times New Roman" w:hAnsi="Times New Roman" w:cs="Times New Roman"/>
                      <w:sz w:val="20"/>
                      <w:szCs w:val="20"/>
                      <w:vertAlign w:val="superscript"/>
                    </w:rPr>
                    <w:t>1, 3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CMDBioscience, Inc., Hamden, CT, United States. </w:t>
                  </w:r>
                  <w:r w:rsidRPr="0005639F">
                    <w:rPr>
                      <w:rFonts w:ascii="Times New Roman" w:eastAsia="Times New Roman" w:hAnsi="Times New Roman" w:cs="Times New Roman"/>
                      <w:sz w:val="20"/>
                      <w:szCs w:val="20"/>
                    </w:rPr>
                    <w:br/>
                    <w:t xml:space="preserve">2. ChemModeling, LLC, Weldon Spring, MO, United States. </w:t>
                  </w:r>
                  <w:r w:rsidRPr="0005639F">
                    <w:rPr>
                      <w:rFonts w:ascii="Times New Roman" w:eastAsia="Times New Roman" w:hAnsi="Times New Roman" w:cs="Times New Roman"/>
                      <w:sz w:val="20"/>
                      <w:szCs w:val="20"/>
                    </w:rPr>
                    <w:br/>
                    <w:t xml:space="preserve">3. Department of Chemistry, Sacred Heart University, Fairfield,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1" w:anchor="2267277" w:history="1">
                    <w:r w:rsidRPr="0005639F">
                      <w:rPr>
                        <w:rFonts w:ascii="Times New Roman" w:eastAsia="Times New Roman" w:hAnsi="Times New Roman" w:cs="Times New Roman"/>
                        <w:color w:val="0000FF"/>
                        <w:sz w:val="20"/>
                        <w:szCs w:val="20"/>
                        <w:u w:val="single"/>
                      </w:rPr>
                      <w:t>The development, validation and application of CMDInventus to enable structure-based peptide drug design and discovery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br/>
                    <w:t>Recently, peptides have regained favor within drug discovery circles because there is mounting evidence that peptides, unlike small molecules and antibodies, can be used to significantly increase the space of druggable targets to include intracellular protein-protein interactions and agonists of class B GPCRs. In order to fill this biological gap, peptides must exhibit complex pharmacological behaviors, typically by binding to shallow and relatively featureless binding surfaces to modulate protein-protein interactions. The daunting task of designing novel peptides to modulate protein-protein interactions can be ameliorated by harnessing the vast amount of scientific information and knowledge of proteins that has accrued over the last two decades. Importantly, in an age variously referred to as the “computer” and “information” age, computation provides the ideal framework for harnessing and applying disparate sources of information to the problem of identifying therapeutic peptides to modulate protein-protein interactions. Here we describe a suite of computational, structure-based modules - implemented in our proprietary computational peptide drug discovery platform, CMDInventus - that can be used to solve a range of peptide lead discovery and optimization problems, from novel peptide binding site identification, to peptide structure prediction and high resolution protein-peptide complex prediction. Finally, we demonstrate a successful application of these tools to the de novo peptide design of antagonists of the CXCR4/SDF1 interaction.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2267316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Alexander S. Bayden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Joseph Audie</w:t>
                  </w:r>
                  <w:r w:rsidRPr="0005639F">
                    <w:rPr>
                      <w:rFonts w:ascii="Times New Roman" w:eastAsia="Times New Roman" w:hAnsi="Times New Roman" w:cs="Times New Roman"/>
                      <w:sz w:val="20"/>
                      <w:szCs w:val="20"/>
                      <w:vertAlign w:val="superscript"/>
                    </w:rPr>
                    <w:t>1, 3</w:t>
                  </w:r>
                  <w:r w:rsidRPr="0005639F">
                    <w:rPr>
                      <w:rFonts w:ascii="Times New Roman" w:eastAsia="Times New Roman" w:hAnsi="Times New Roman" w:cs="Times New Roman"/>
                      <w:sz w:val="20"/>
                      <w:szCs w:val="20"/>
                    </w:rPr>
                    <w:t>, Jon T. Swanson</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Mark Jarosinski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David J. Diller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CMDBioscience, Inc., Hamden, CT, United States. </w:t>
                  </w:r>
                  <w:r w:rsidRPr="0005639F">
                    <w:rPr>
                      <w:rFonts w:ascii="Times New Roman" w:eastAsia="Times New Roman" w:hAnsi="Times New Roman" w:cs="Times New Roman"/>
                      <w:sz w:val="20"/>
                      <w:szCs w:val="20"/>
                    </w:rPr>
                    <w:br/>
                    <w:t xml:space="preserve">2. ChemModeling, LLC, Weldon Spring, MO, United States. </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lastRenderedPageBreak/>
                    <w:t xml:space="preserve">3. Department of Chemistry, Sacred Heart University, Fairfield,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252" w:anchor="2267316" w:history="1">
                    <w:r w:rsidRPr="0005639F">
                      <w:rPr>
                        <w:rFonts w:ascii="Times New Roman" w:eastAsia="Times New Roman" w:hAnsi="Times New Roman" w:cs="Times New Roman"/>
                        <w:color w:val="0000FF"/>
                        <w:sz w:val="20"/>
                        <w:szCs w:val="20"/>
                        <w:u w:val="single"/>
                      </w:rPr>
                      <w:t>Using CMDInventus for understanding and solving ADME/Tox issues in peptide-based drug discovery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Peptides fill a significant physicochemical and therapeutic gap between small molecules and monoclonal antibodies which is the main reason they have recently regained favor within drug discovery community. As the interest in peptides grows, it is important to remember that in order to become a drug a molecule must possess many properties beyond modulation of a challenging target. Peptides fell from favor within the pharmaceutical industry largely for pharmacokinetic reasons, including rapid proteolytic cleavage, limited cell permeability, and the potential for exciting a serious immune response. Thus, in order for peptides to truly regain favor within drug discovery groups, these pharmacokinetic (ADME/Tox) problems must be solved. Fortunately, there is significantly more information available to the peptide community than a decade or two ago. Given the difficulty of simultaneously solving a number of ADME/Tox issues, while maintaining a complex pharmacological activity, it is crucial that researchers integrate all this information into their drug discovery programs as early as possible. Here we describe our progress towards developing computational tools within our peptide drug discovery platform CMDInventus to first understand peptide ADME/Tox problems and then to aid researchers in solving them. In particular, we focus attention on new and encouraging results obtained for therapeutic peptide protease stability, cell permeability, and immunogenicity modeling and prediction using an approach that combines the strengths of both cheminformatics and bioinformatics methods.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2285418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James Simpkins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Taylor Hughes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Hoda Ilkhani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Maria R. Hepel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SUNY Potsdam,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3" w:anchor="2285418" w:history="1">
                    <w:r w:rsidRPr="0005639F">
                      <w:rPr>
                        <w:rFonts w:ascii="Times New Roman" w:eastAsia="Times New Roman" w:hAnsi="Times New Roman" w:cs="Times New Roman"/>
                        <w:b/>
                        <w:bCs/>
                        <w:color w:val="0000FF"/>
                        <w:sz w:val="20"/>
                        <w:szCs w:val="20"/>
                        <w:u w:val="single"/>
                      </w:rPr>
                      <w:t>Controlled release of anticancer drug 5-fluorouracil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administration of chemotherapeutic drugs, which are highly cytotoxic not only to the cancer cells but also to the healthy cells, has been a challenge that only recently has been resolved by the development of novel drug delivery systems based on specialized nanocarriers targeting cancer tissue. One of the carrier systems utilizes functional gold nanoparticles. In this work, we have employed gold-coated magnetic nanoparticles (MNPs) which provide several advantages over gold nanoparticles, such as easy manipulation, separation, and medium exchange during surface modification and drug loading. Also, during the administration, they allow for magnetic focusing on cancer tissue, followed by easy removal and collection. For these reasons, the use of MNPs in cancer research is growing. We have investigated the delivery of an anticancer drug, fluorouracil (5-FU). Effective delivery of 5-FU to malignant tumors is of particular interest because of its high toxicity to the healthy tissues. We have employed surface-enhanced resonance Raman scattering (SERRS) spectroscopy and UV-Vis spectroscopy to monitor the binding and release of 5-FU. SERRS is particularly useful due to its ultra-high sensitivity. The drug release was carried out in the presence of buffer solutions with varying pH (4.5 to 6.5). We have also investigated the effects of surface modification of Au-coated MNPs by immobilizing poly(ethyleneglycol) (PEG) and folic acid (FA) in nanoparticle shells via covalent bonding to a self-assembled monolayer of functional thiol molecules.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2287992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 xml:space="preserve">Edward Ofori </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Jagan R. Etukala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Barbara Bricker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Xue Y. Zhu</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Tanise Jackson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Haung Xi-Ping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Bryan L. Roth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Seth Y. Ablordeppey</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of North Carolina CHPL Hl, Chapel Hill, NC, United States. </w:t>
                  </w:r>
                  <w:r w:rsidRPr="0005639F">
                    <w:rPr>
                      <w:rFonts w:ascii="Times New Roman" w:eastAsia="Times New Roman" w:hAnsi="Times New Roman" w:cs="Times New Roman"/>
                      <w:sz w:val="20"/>
                      <w:szCs w:val="20"/>
                    </w:rPr>
                    <w:br/>
                    <w:t xml:space="preserve">2. College of Pharmacy &amp; Pharmaceutical Sciences, Florida A &amp; M University, Tallahassee, FL,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4" w:anchor="2287992" w:history="1">
                    <w:r w:rsidRPr="0005639F">
                      <w:rPr>
                        <w:rFonts w:ascii="Times New Roman" w:eastAsia="Times New Roman" w:hAnsi="Times New Roman" w:cs="Times New Roman"/>
                        <w:color w:val="0000FF"/>
                        <w:sz w:val="20"/>
                        <w:szCs w:val="20"/>
                        <w:u w:val="single"/>
                      </w:rPr>
                      <w:t>Tetrahydroisoquinolines as multi-receptor probes for antipsychotic drug design.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Schizophrenia and related psychotic illnesses are incurable and detrimental diseases of the brain which are barely managed by current treatment options. Typical antipsychotics such as haloperidol exert their antipsychotic activity by blocking dopamine-2 receptors (D</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R) in the brain which is hyperactive in schizophrenics. The avid D</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R blockade causes extrapyramidal side effects (EPS). Atypical antipsychotics such as clozapine display additional binding to serotonin receptors (5-HTRs) notably 5-HT</w:t>
                  </w:r>
                  <w:r w:rsidRPr="0005639F">
                    <w:rPr>
                      <w:rFonts w:ascii="Times New Roman" w:eastAsia="Times New Roman" w:hAnsi="Times New Roman" w:cs="Times New Roman"/>
                      <w:sz w:val="20"/>
                      <w:szCs w:val="20"/>
                      <w:vertAlign w:val="subscript"/>
                    </w:rPr>
                    <w:t>1A</w:t>
                  </w:r>
                  <w:r w:rsidRPr="0005639F">
                    <w:rPr>
                      <w:rFonts w:ascii="Times New Roman" w:eastAsia="Times New Roman" w:hAnsi="Times New Roman" w:cs="Times New Roman"/>
                      <w:sz w:val="20"/>
                      <w:szCs w:val="20"/>
                    </w:rPr>
                    <w:t xml:space="preserve"> (agonist) and 5-HT</w:t>
                  </w:r>
                  <w:r w:rsidRPr="0005639F">
                    <w:rPr>
                      <w:rFonts w:ascii="Times New Roman" w:eastAsia="Times New Roman" w:hAnsi="Times New Roman" w:cs="Times New Roman"/>
                      <w:sz w:val="20"/>
                      <w:szCs w:val="20"/>
                      <w:vertAlign w:val="subscript"/>
                    </w:rPr>
                    <w:t>2A</w:t>
                  </w:r>
                  <w:r w:rsidRPr="0005639F">
                    <w:rPr>
                      <w:rFonts w:ascii="Times New Roman" w:eastAsia="Times New Roman" w:hAnsi="Times New Roman" w:cs="Times New Roman"/>
                      <w:sz w:val="20"/>
                      <w:szCs w:val="20"/>
                    </w:rPr>
                    <w:t xml:space="preserve"> (antagonist) to treat both positive and some negative symptoms with reduced EPS. However, they fail to restore the cognitive deficit which is one of the major disabilities in schizophrenics. Therefore, there is a need to design better agents capable of treating all the symptoms with lesser side effects. Parenthetically, several findings indicate that 5-HT</w:t>
                  </w:r>
                  <w:r w:rsidRPr="0005639F">
                    <w:rPr>
                      <w:rFonts w:ascii="Times New Roman" w:eastAsia="Times New Roman" w:hAnsi="Times New Roman" w:cs="Times New Roman"/>
                      <w:sz w:val="20"/>
                      <w:szCs w:val="20"/>
                      <w:vertAlign w:val="subscript"/>
                    </w:rPr>
                    <w:t>7</w:t>
                  </w:r>
                  <w:r w:rsidRPr="0005639F">
                    <w:rPr>
                      <w:rFonts w:ascii="Times New Roman" w:eastAsia="Times New Roman" w:hAnsi="Times New Roman" w:cs="Times New Roman"/>
                      <w:sz w:val="20"/>
                      <w:szCs w:val="20"/>
                    </w:rPr>
                    <w:t>R antagonists can potentially reverse the cognitive impairment in schizophrenics. Having obtained a hit compound, 1- (4-chlorophenyl)-4- (3,4-dihydroisoquinolin-2(1H)-yl) butan-1-one(</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xml:space="preserve">), with binding profile consistent with our hypothesis, we have now synthesized several analogs which explore the bioisosteric replacement of the chloro-phenyl moiety of </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xml:space="preserve"> and evaluated their binding affinities at several CNS receptors including dopamine, serotonin, histamine and muscarinic receptors. Compound </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xml:space="preserve"> shows comparable D</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R (126nM) binding to that of clozapine (130nM), high affinity binding at 5-HT</w:t>
                  </w:r>
                  <w:r w:rsidRPr="0005639F">
                    <w:rPr>
                      <w:rFonts w:ascii="Times New Roman" w:eastAsia="Times New Roman" w:hAnsi="Times New Roman" w:cs="Times New Roman"/>
                      <w:sz w:val="20"/>
                      <w:szCs w:val="20"/>
                      <w:vertAlign w:val="subscript"/>
                    </w:rPr>
                    <w:t>1A</w:t>
                  </w:r>
                  <w:r w:rsidRPr="0005639F">
                    <w:rPr>
                      <w:rFonts w:ascii="Times New Roman" w:eastAsia="Times New Roman" w:hAnsi="Times New Roman" w:cs="Times New Roman"/>
                      <w:sz w:val="20"/>
                      <w:szCs w:val="20"/>
                    </w:rPr>
                    <w:t xml:space="preserve"> (8.2nM), and 5-HT</w:t>
                  </w:r>
                  <w:r w:rsidRPr="0005639F">
                    <w:rPr>
                      <w:rFonts w:ascii="Times New Roman" w:eastAsia="Times New Roman" w:hAnsi="Times New Roman" w:cs="Times New Roman"/>
                      <w:sz w:val="20"/>
                      <w:szCs w:val="20"/>
                      <w:vertAlign w:val="subscript"/>
                    </w:rPr>
                    <w:t>7</w:t>
                  </w:r>
                  <w:r w:rsidRPr="0005639F">
                    <w:rPr>
                      <w:rFonts w:ascii="Times New Roman" w:eastAsia="Times New Roman" w:hAnsi="Times New Roman" w:cs="Times New Roman"/>
                      <w:sz w:val="20"/>
                      <w:szCs w:val="20"/>
                    </w:rPr>
                    <w:t xml:space="preserve">R (3.6nM). Restricting the keto group in </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xml:space="preserve"> in an indanone produced a compound which displayed a sub-nanomolar binding affinity (0.47nM) to 5-HT</w:t>
                  </w:r>
                  <w:r w:rsidRPr="0005639F">
                    <w:rPr>
                      <w:rFonts w:ascii="Times New Roman" w:eastAsia="Times New Roman" w:hAnsi="Times New Roman" w:cs="Times New Roman"/>
                      <w:sz w:val="20"/>
                      <w:szCs w:val="20"/>
                      <w:vertAlign w:val="subscript"/>
                    </w:rPr>
                    <w:t>7</w:t>
                  </w:r>
                  <w:r w:rsidRPr="0005639F">
                    <w:rPr>
                      <w:rFonts w:ascii="Times New Roman" w:eastAsia="Times New Roman" w:hAnsi="Times New Roman" w:cs="Times New Roman"/>
                      <w:sz w:val="20"/>
                      <w:szCs w:val="20"/>
                    </w:rPr>
                    <w:t xml:space="preserve">R. Integrating this observation in the development of new agents may provide new treatment options for schizoaffective symptoms including cognitive impairment in schizophrenia. We have identified </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xml:space="preserve"> and its indanone derivatives as potential antipsychotic leads with better multi-receptor binding profiles. The high 5-HT</w:t>
                  </w:r>
                  <w:r w:rsidRPr="0005639F">
                    <w:rPr>
                      <w:rFonts w:ascii="Times New Roman" w:eastAsia="Times New Roman" w:hAnsi="Times New Roman" w:cs="Times New Roman"/>
                      <w:sz w:val="20"/>
                      <w:szCs w:val="20"/>
                      <w:vertAlign w:val="subscript"/>
                    </w:rPr>
                    <w:t>7</w:t>
                  </w:r>
                  <w:r w:rsidRPr="0005639F">
                    <w:rPr>
                      <w:rFonts w:ascii="Times New Roman" w:eastAsia="Times New Roman" w:hAnsi="Times New Roman" w:cs="Times New Roman"/>
                      <w:sz w:val="20"/>
                      <w:szCs w:val="20"/>
                    </w:rPr>
                    <w:t>R preference gives these agents prospects in reducing cognitive impairment in schizophrenics.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2288108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Erik N. Carrion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Stephen D. Kozuch</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Biochemistry, Seton Hall University, West Orange,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5" w:anchor="2288108" w:history="1">
                    <w:r w:rsidRPr="0005639F">
                      <w:rPr>
                        <w:rFonts w:ascii="Times New Roman" w:eastAsia="Times New Roman" w:hAnsi="Times New Roman" w:cs="Times New Roman"/>
                        <w:b/>
                        <w:bCs/>
                        <w:color w:val="0000FF"/>
                        <w:sz w:val="20"/>
                        <w:szCs w:val="20"/>
                        <w:u w:val="single"/>
                      </w:rPr>
                      <w:t>Phthalocyanine Bioconjugates and their Applications in Photodynamic Therapy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Phthalocyanines (Pcs) form an important class of photosensitizers that are being considered for photodynamic therapy (PDT) of malignant tumors. Despite their favorable PDT properties, they lack clinical utility due to poor stability in the presence of the reactive oxygen species (ROS) they produce as well as poor pharmacological properties and poor selectivity. To address these limitations, a novel class of cancer-targeting fluoroalkyl metal phthalocyanines is being developed. The fluoroalkyl metal phthalocyanines are functionalized </w:t>
                  </w:r>
                  <w:r w:rsidRPr="0005639F">
                    <w:rPr>
                      <w:rFonts w:ascii="Times New Roman" w:eastAsia="Times New Roman" w:hAnsi="Times New Roman" w:cs="Times New Roman"/>
                      <w:sz w:val="20"/>
                      <w:szCs w:val="20"/>
                    </w:rPr>
                    <w:lastRenderedPageBreak/>
                    <w:t>with a carboxylic acid group (F</w:t>
                  </w:r>
                  <w:r w:rsidRPr="0005639F">
                    <w:rPr>
                      <w:rFonts w:ascii="Times New Roman" w:eastAsia="Times New Roman" w:hAnsi="Times New Roman" w:cs="Times New Roman"/>
                      <w:sz w:val="20"/>
                      <w:szCs w:val="20"/>
                      <w:vertAlign w:val="subscript"/>
                    </w:rPr>
                    <w:t>48</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7</w:t>
                  </w:r>
                  <w:r w:rsidRPr="0005639F">
                    <w:rPr>
                      <w:rFonts w:ascii="Times New Roman" w:eastAsia="Times New Roman" w:hAnsi="Times New Roman" w:cs="Times New Roman"/>
                      <w:sz w:val="20"/>
                      <w:szCs w:val="20"/>
                    </w:rPr>
                    <w:t>COOHPcM; M = divalent metal) which allows for bioconjugation with either a cancer cell targeting peptide (Pep42) or an oncogene targeting oligonucleotide (asDNA). In this context, the cell surface GRP78 receptor has been selected as a bio-marker for our tumor-targeting PDT approaches. In this presentation, we illustrate the synthesis, characterization and bioconjugation of these F</w:t>
                  </w:r>
                  <w:r w:rsidRPr="0005639F">
                    <w:rPr>
                      <w:rFonts w:ascii="Times New Roman" w:eastAsia="Times New Roman" w:hAnsi="Times New Roman" w:cs="Times New Roman"/>
                      <w:sz w:val="20"/>
                      <w:szCs w:val="20"/>
                      <w:vertAlign w:val="subscript"/>
                    </w:rPr>
                    <w:t>48</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7</w:t>
                  </w:r>
                  <w:r w:rsidRPr="0005639F">
                    <w:rPr>
                      <w:rFonts w:ascii="Times New Roman" w:eastAsia="Times New Roman" w:hAnsi="Times New Roman" w:cs="Times New Roman"/>
                      <w:sz w:val="20"/>
                      <w:szCs w:val="20"/>
                    </w:rPr>
                    <w:t>COOHPcMs with cancer targeting biomolecules.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1. Patel, P.; Patel, H.H.; Borland, E.; Gorun, S.M.; Sabatino, D. </w:t>
                  </w:r>
                  <w:r w:rsidRPr="0005639F">
                    <w:rPr>
                      <w:rFonts w:ascii="Times New Roman" w:eastAsia="Times New Roman" w:hAnsi="Times New Roman" w:cs="Times New Roman"/>
                      <w:i/>
                      <w:iCs/>
                      <w:sz w:val="20"/>
                      <w:szCs w:val="20"/>
                    </w:rPr>
                    <w:t>Chem. Commun. (Camb).</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2014</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50</w:t>
                  </w:r>
                  <w:r w:rsidRPr="0005639F">
                    <w:rPr>
                      <w:rFonts w:ascii="Times New Roman" w:eastAsia="Times New Roman" w:hAnsi="Times New Roman" w:cs="Times New Roman"/>
                      <w:sz w:val="20"/>
                      <w:szCs w:val="20"/>
                    </w:rPr>
                    <w:t>, 6309-6311.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2292266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Ty Santiago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Mackenzie Palmer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Hoda Ilkhani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Katarzyna Kurzatkowska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Maria R. Hepel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SUNY Potsdam,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6" w:anchor="2292266" w:history="1">
                    <w:r w:rsidRPr="0005639F">
                      <w:rPr>
                        <w:rFonts w:ascii="Times New Roman" w:eastAsia="Times New Roman" w:hAnsi="Times New Roman" w:cs="Times New Roman"/>
                        <w:b/>
                        <w:bCs/>
                        <w:color w:val="0000FF"/>
                        <w:sz w:val="20"/>
                        <w:szCs w:val="20"/>
                        <w:u w:val="single"/>
                      </w:rPr>
                      <w:t>Controlled Release of Anticancer Drugs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Functionalized nanoparticle drug carriers have been extensively investigated for their potential use in targeted drug delivery in cancer therapy. Due to the high cytotoxicity of chemotherapeutic drugs, the targeted drug administration becomes a necessity. We have investigated the drug delivery systems for several anticancer drugs using gold-coated magnetic nanoparticle (MNP) carriers. Magnetic nanoparticles provide several advantages over non-magnetic carriers, including rapid and easy collection, guided delivery, and nontoxicity to healthy cells. For these reasons, the use of MNPs in cancer research is growing. In this work, we have developed a new method for immobilization and release of the anticancer drug gemcitabine. Gemcitabine (2’,2’-difluoro-2’-deoxycytidine, dFdC) is a deoxycytidine antimetabolite that requires intracellular phosphorylation mediated by deoxycytidine kinases (dCKs) for conversion into its triphosphate form (dFdC-TP). This triphosphate form exerts cytotoxic effects by incorporation into the DNA double-helix and inhibiting DNA synthesis. Furthermore, an irreversible inhibition of ribonucleotide reductase by diphosphorylated form of gemcitabine (dFdC-DP) prevents the nucleotide reduction, thus improving the gemcitabine efficacy in the cancer cells. In this work, surface-enhanced resonance Raman scattering (SERRS) spectroscopy was used to monitor binding of gemcitabine on magnetic gold nanoparticles (Fe</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Ni@Au), with and without modification with folic acid (FA) and poly(ethyleneglycol) (PEG). The drug release was carried out into the PBS buffer solutions with varying pH in the range from 4.5 to 7.4. Detailed procedure for gemcitabine binding and release will be discussed.</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2212366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News from Carbon World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AUTHORS (FIRST NAME, LAST NAME): </w:t>
                  </w:r>
                  <w:r w:rsidRPr="0005639F">
                    <w:rPr>
                      <w:rFonts w:ascii="Times New Roman" w:eastAsia="Times New Roman" w:hAnsi="Times New Roman" w:cs="Times New Roman"/>
                      <w:sz w:val="20"/>
                      <w:szCs w:val="20"/>
                      <w:u w:val="single"/>
                    </w:rPr>
                    <w:t>Cristina Dubceac</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Alexander S. Filatov</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Alexander V. Zabula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Marina A. Petrukhina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University at Albany, SUNY, Albany,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7" w:anchor="2212366" w:history="1">
                    <w:r w:rsidRPr="0005639F">
                      <w:rPr>
                        <w:rFonts w:ascii="Times New Roman" w:eastAsia="Times New Roman" w:hAnsi="Times New Roman" w:cs="Times New Roman"/>
                        <w:color w:val="0000FF"/>
                        <w:sz w:val="20"/>
                        <w:szCs w:val="20"/>
                        <w:u w:val="single"/>
                      </w:rPr>
                      <w:t>Site-specific functionalization of Buckybowls: Tailoring properties and structures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Functionalization of corannulene, a polycyclic aromatic hydrocarbon (PAH) with a bowl-shaped sp</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hybridized carbon framework, is of great importance for assisting in activation of non-planar carbon surfaces, altering their properties and reactivity, and setting the ground for the development of novel carbonaceous compounds. Derivatives of corannulene (C</w:t>
                  </w:r>
                  <w:r w:rsidRPr="0005639F">
                    <w:rPr>
                      <w:rFonts w:ascii="Times New Roman" w:eastAsia="Times New Roman" w:hAnsi="Times New Roman" w:cs="Times New Roman"/>
                      <w:sz w:val="20"/>
                      <w:szCs w:val="20"/>
                      <w:vertAlign w:val="subscript"/>
                    </w:rPr>
                    <w:t>20</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10</w:t>
                  </w:r>
                  <w:r w:rsidRPr="0005639F">
                    <w:rPr>
                      <w:rFonts w:ascii="Times New Roman" w:eastAsia="Times New Roman" w:hAnsi="Times New Roman" w:cs="Times New Roman"/>
                      <w:sz w:val="20"/>
                      <w:szCs w:val="20"/>
                    </w:rPr>
                    <w:t xml:space="preserve">) have been shown to exhibit unique chemical and physical properties, making them promising candidates for a variety of emerging materials chemistry applications. Significant efforts have been directed towards the development of controlled functionalization routes with the purpose of tuning the properties and reactivity of the carbon bowl. Exterior derivatization of corannulene by various substituents has been broadly studied, while the interior surface functionalization is limited to only two examples: spoke cycloaddition of dihalocarbenes and covalent bond formation at the hub carbon atom of corannulene through the addition of external carbocations under Friedel-Crafts reaction conditions. In both cases, the preparation of the functionalized bowl-shaped products as solid crystalline materials and their structural analysis have been lacking. We therefore focused on product crystallization that allowed us to accomplish the first structural characterization of interior functionalized corannulene using single crystal X-ray diffraction. A family of corannulene-based cations with different tails bound to the surface has provided a unique set for evaluating the geometry transformation and solid state packing with various anions. For the recently characterized corannulene adducts with dichlorocarbene, the effect of cyclopropanation on the carbon core is revealed, including changes in bowl depth, bond lengths, and bonding angles. Interesting variations in the solid state packing of mono- </w:t>
                  </w:r>
                  <w:r w:rsidRPr="0005639F">
                    <w:rPr>
                      <w:rFonts w:ascii="Times New Roman" w:eastAsia="Times New Roman" w:hAnsi="Times New Roman" w:cs="Times New Roman"/>
                      <w:i/>
                      <w:iCs/>
                      <w:sz w:val="20"/>
                      <w:szCs w:val="20"/>
                    </w:rPr>
                    <w:t>versus</w:t>
                  </w:r>
                  <w:r w:rsidRPr="0005639F">
                    <w:rPr>
                      <w:rFonts w:ascii="Times New Roman" w:eastAsia="Times New Roman" w:hAnsi="Times New Roman" w:cs="Times New Roman"/>
                      <w:sz w:val="20"/>
                      <w:szCs w:val="20"/>
                    </w:rPr>
                    <w:t xml:space="preserve"> bis-adduct are also discovered. Furthermore, the solid state aggregation patterns of these polar bowls have been correlated to their properties. These studies should facilitate the design of functionalized non-planar PAHs with structures and properties tailored for further development of novel carbonaceous materials.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2223687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News from Carbon World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William Dichtel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8" w:anchor="2223687" w:history="1">
                    <w:r w:rsidRPr="0005639F">
                      <w:rPr>
                        <w:rFonts w:ascii="Times New Roman" w:eastAsia="Times New Roman" w:hAnsi="Times New Roman" w:cs="Times New Roman"/>
                        <w:color w:val="0000FF"/>
                        <w:sz w:val="20"/>
                        <w:szCs w:val="20"/>
                        <w:u w:val="single"/>
                      </w:rPr>
                      <w:t>Novel aromatic architectures derived from the benzannulation of alkynes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Congested aromatic systems, such as </w:t>
                  </w:r>
                  <w:r w:rsidRPr="0005639F">
                    <w:rPr>
                      <w:rFonts w:ascii="Times New Roman" w:eastAsia="Times New Roman" w:hAnsi="Times New Roman" w:cs="Times New Roman"/>
                      <w:i/>
                      <w:iCs/>
                      <w:sz w:val="20"/>
                      <w:szCs w:val="20"/>
                    </w:rPr>
                    <w:t>ortho</w:t>
                  </w:r>
                  <w:r w:rsidRPr="0005639F">
                    <w:rPr>
                      <w:rFonts w:ascii="Times New Roman" w:eastAsia="Times New Roman" w:hAnsi="Times New Roman" w:cs="Times New Roman"/>
                      <w:sz w:val="20"/>
                      <w:szCs w:val="20"/>
                    </w:rPr>
                    <w:t xml:space="preserve">-arylenes, are more difficult to access than thier </w:t>
                  </w:r>
                  <w:r w:rsidRPr="0005639F">
                    <w:rPr>
                      <w:rFonts w:ascii="Times New Roman" w:eastAsia="Times New Roman" w:hAnsi="Times New Roman" w:cs="Times New Roman"/>
                      <w:i/>
                      <w:iCs/>
                      <w:sz w:val="20"/>
                      <w:szCs w:val="20"/>
                    </w:rPr>
                    <w:t>meta</w:t>
                  </w:r>
                  <w:r w:rsidRPr="0005639F">
                    <w:rPr>
                      <w:rFonts w:ascii="Times New Roman" w:eastAsia="Times New Roman" w:hAnsi="Times New Roman" w:cs="Times New Roman"/>
                      <w:sz w:val="20"/>
                      <w:szCs w:val="20"/>
                    </w:rPr>
                    <w:t xml:space="preserve">- or </w:t>
                  </w:r>
                  <w:r w:rsidRPr="0005639F">
                    <w:rPr>
                      <w:rFonts w:ascii="Times New Roman" w:eastAsia="Times New Roman" w:hAnsi="Times New Roman" w:cs="Times New Roman"/>
                      <w:i/>
                      <w:iCs/>
                      <w:sz w:val="20"/>
                      <w:szCs w:val="20"/>
                    </w:rPr>
                    <w:t>para</w:t>
                  </w:r>
                  <w:r w:rsidRPr="0005639F">
                    <w:rPr>
                      <w:rFonts w:ascii="Times New Roman" w:eastAsia="Times New Roman" w:hAnsi="Times New Roman" w:cs="Times New Roman"/>
                      <w:sz w:val="20"/>
                      <w:szCs w:val="20"/>
                    </w:rPr>
                    <w:t>-linked counterparts because their steric hindrance poses a challenge for transition metal-catalyzed cross-coupling reactions. We have explored a new entry into such systems, which is based on the Asao-Yamamoto benzannulation of aryl acetylenes. This reaction is highly efficient, enabling its application for modifying conjugated polymers, tolerant of extreme steric hindrance, and is regioselective for many substrates. The application of this reaction to access new molecular and polymeric aromatic systems, such as contorted aromatic systems and extended graphene nanoribbons,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2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2233424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News from Carbon World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Adam Whalley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University of Vermont, Burlington, VT,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59" w:anchor="2233424" w:history="1">
                    <w:r w:rsidRPr="0005639F">
                      <w:rPr>
                        <w:rFonts w:ascii="Times New Roman" w:eastAsia="Times New Roman" w:hAnsi="Times New Roman" w:cs="Times New Roman"/>
                        <w:color w:val="0000FF"/>
                        <w:sz w:val="20"/>
                        <w:szCs w:val="20"/>
                        <w:u w:val="single"/>
                      </w:rPr>
                      <w:t>Contorted aromatics featuring non-traditional ring sizes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Traditionally, contorted aromatics have been synthesized by incorporating 5-membered rings into structures composed primarily of fused hexagonal rings. The introduction of these smaller ring sizes induces strain in the molecule forcing it to bend away from its desired planar orientation, which results in the emergence of interesting properties. We are interested in synthesizing non-planar molecules that incorporate ring sizes other than 5- and 6-membered and observing how the properties of the molecules change with the introduction of these non-traditional rings. With this in mind, we have synthesized a stable derivative of [8]circulene – the largest member of the circulene family synthesized to date – using a Diels-Alder reaction and a palladium catalyzed arylation as the key synthetic steps. Although, the structure distorts significantly from planarity, x-ray data validates the presence of a fully benzenoid structure which explains the remarkable stability of this compound.</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3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2266445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News from Carbon World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Elena Margine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Physics, Binghamton University, Vestal,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0" w:anchor="2266445" w:history="1">
                    <w:r w:rsidRPr="0005639F">
                      <w:rPr>
                        <w:rFonts w:ascii="Times New Roman" w:eastAsia="Times New Roman" w:hAnsi="Times New Roman" w:cs="Times New Roman"/>
                        <w:b/>
                        <w:bCs/>
                        <w:color w:val="0000FF"/>
                        <w:sz w:val="20"/>
                        <w:szCs w:val="20"/>
                        <w:u w:val="single"/>
                      </w:rPr>
                      <w:t>Electronic transport properties of selected π-bowls with different size, curvature and solid state packing</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First-principles calculations combined with the Boltzmann transport theory are used to investigate the electronic transport properties of four members of the extended family of indenocorannulene molecular crystals. The results for the electrical conductivity suggest that all corannulene derivatives should exhibit transport characteristics significantly improved compared to the parent corannulene. The findings point to a large sensitivity of the charge-carrier conductivity to the size as well as stacking direction of the -bowls and indicate that this class of corannulene derivatives can provide new structural motifs that can be further tuned to achieve high-performance materials for organic electronic devices.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lastRenderedPageBreak/>
              <w:pict>
                <v:rect id="_x0000_i363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2278402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News from Carbon World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Andrey Y. Rogachev</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Biological and Chemical Sciences, Illinois Institute of Technology, Oak Park, IL,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1" w:anchor="2278402" w:history="1">
                    <w:r w:rsidRPr="0005639F">
                      <w:rPr>
                        <w:rFonts w:ascii="Times New Roman" w:eastAsia="Times New Roman" w:hAnsi="Times New Roman" w:cs="Times New Roman"/>
                        <w:b/>
                        <w:bCs/>
                        <w:color w:val="0000FF"/>
                        <w:sz w:val="20"/>
                        <w:szCs w:val="20"/>
                        <w:u w:val="single"/>
                      </w:rPr>
                      <w:t>Highly-Reduced Corannulene Aggregates with Different Alkali Metals: Different Geometries within the Same Electronic Structure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Recent experimental achievements in chemistry of reduced corannulene (C</w:t>
                  </w:r>
                  <w:r w:rsidRPr="0005639F">
                    <w:rPr>
                      <w:rFonts w:ascii="Times New Roman" w:eastAsia="Times New Roman" w:hAnsi="Times New Roman" w:cs="Times New Roman"/>
                      <w:sz w:val="20"/>
                      <w:szCs w:val="20"/>
                      <w:vertAlign w:val="subscript"/>
                    </w:rPr>
                    <w:t>20</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10</w:t>
                  </w:r>
                  <w:r w:rsidRPr="0005639F">
                    <w:rPr>
                      <w:rFonts w:ascii="Times New Roman" w:eastAsia="Times New Roman" w:hAnsi="Times New Roman" w:cs="Times New Roman"/>
                      <w:sz w:val="20"/>
                      <w:szCs w:val="20"/>
                    </w:rPr>
                    <w:t>, the smallest buckybowl) revealed a tendency of highly reduced curved polyaromatic molecules to form sandwich-like aggregates. The latter contain five or six alkali metals as positive “electrostatic glue” between two negatively charged bowls in their convex-convex orientation and show remarkable stability in solution. The electronic structure of these systems was investigated in detail in the present study with help of modern tools of quantum chemistry. The influence of the nature and size of alkali metal on stability and dynamics of such systems was clearly established. Increase of size of the metal (from Li</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to Na</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K</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Rb</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and Cs</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leads to substantial lowering of stability of sandwich-like aggregates and increasing of mobility of metal cations between two polyaromatic sheets. Importantly, the electronic structure of all aggregates stays essentially the same albeit changes in geometry were found dramatic. For example, the distance between two bowls can vary from 3.42Å to 4.41Å without any significant changes in electronic structure.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3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2288955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News from Carbon World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Alexander V. Zabula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Andrey Y. Rogachev</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Samuel Moffet</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Robert C. West</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Biological and Chemical Sciences, Illinois Institute of Technology, Oak Park, IL, United States. </w:t>
                  </w:r>
                  <w:r w:rsidRPr="0005639F">
                    <w:rPr>
                      <w:rFonts w:ascii="Times New Roman" w:eastAsia="Times New Roman" w:hAnsi="Times New Roman" w:cs="Times New Roman"/>
                      <w:sz w:val="20"/>
                      <w:szCs w:val="20"/>
                    </w:rPr>
                    <w:br/>
                    <w:t xml:space="preserve">2. Department of Chemistry, University of Wisconsin-Madison, Madison, WI,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2" w:anchor="2288955" w:history="1">
                    <w:r w:rsidRPr="0005639F">
                      <w:rPr>
                        <w:rFonts w:ascii="Times New Roman" w:eastAsia="Times New Roman" w:hAnsi="Times New Roman" w:cs="Times New Roman"/>
                        <w:b/>
                        <w:bCs/>
                        <w:color w:val="0000FF"/>
                        <w:sz w:val="20"/>
                        <w:szCs w:val="20"/>
                        <w:u w:val="single"/>
                      </w:rPr>
                      <w:t>Reduction of Polycyclic Compounds Containing Heavier Group 14 Elements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incorporation of heteroatoms into various polycyclic systems can provide significant alteration of the electronic structure and chemical properties of the resulting derivatives. In the present work, the reduction behavior of the spiro-compounds with the central sp</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-hybridized Group 14 elements fused with two biphenyl moieties was studied by various techniques. Different reduction products have been isolated and characterized in the series E = C-Sn. Surprisingly, silabisfluorene (E = Si) shows the highest reversible electron capacity compared to its lighter and heavier homologs. This is explained by the conjugation of two unsaturated polyarene moieties over the central silicon atom. The electronic structures of the neutral spiro-compounds and their reduced species are discussed based on theoretical investigations.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3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2292390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News from Carbon World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Upul Ranaweera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Kelley McKissic</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Rui Ding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Peng Zheng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Anna D. Gudmundsdottir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James Mack</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University of Cincinnati, Cincinnati, OH, United States. </w:t>
                  </w:r>
                  <w:r w:rsidRPr="0005639F">
                    <w:rPr>
                      <w:rFonts w:ascii="Times New Roman" w:eastAsia="Times New Roman" w:hAnsi="Times New Roman" w:cs="Times New Roman"/>
                      <w:sz w:val="20"/>
                      <w:szCs w:val="20"/>
                    </w:rPr>
                    <w:br/>
                    <w:t xml:space="preserve">2. 701 West, University of Cincinnati, Cincinnati, OH,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3" w:anchor="2292390" w:history="1">
                    <w:r w:rsidRPr="0005639F">
                      <w:rPr>
                        <w:rFonts w:ascii="Times New Roman" w:eastAsia="Times New Roman" w:hAnsi="Times New Roman" w:cs="Times New Roman"/>
                        <w:color w:val="0000FF"/>
                        <w:sz w:val="20"/>
                        <w:szCs w:val="20"/>
                        <w:u w:val="single"/>
                      </w:rPr>
                      <w:t>Bringing Corannulene into the light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potential use of fullerenes and nanotubes in applications ranging from medicine to construction has been met with great enthusiasm. However, fullerenes fragments such as corannulene and other fullerene fragments has not been as well studied. We will show corannulene and various corannulene derivatives have very interesting photochemical properties that potentially can be utilized in various applications. We will report on the singlet and triplet excited states of corannulene and corannulene derivatives.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3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2292656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News from Carbon World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Nancy S. Goroff</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Stony Brook University, Stony Brook,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4" w:anchor="2292656" w:history="1">
                    <w:r w:rsidRPr="0005639F">
                      <w:rPr>
                        <w:rFonts w:ascii="Times New Roman" w:eastAsia="Times New Roman" w:hAnsi="Times New Roman" w:cs="Times New Roman"/>
                        <w:color w:val="0000FF"/>
                        <w:sz w:val="20"/>
                        <w:szCs w:val="20"/>
                        <w:u w:val="single"/>
                      </w:rPr>
                      <w:t>Dihalopolyynes: Building carbon materials from the bottom up</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Dihalopolyynes are versatile building blocks for preparing a wide variety of unsaturated halocarbon compounds, including cumulenes, longer polyyne rods, and conjugated polymers. For example, self-assembly based on the Lewis acid-base interactions ("halogen bonds") of these compounds leads to co-crystals where the polyynes are aligned for ordered polymerization. Studies of the reactivity of the halocarbons also lead to insights into the more general chemistry of unsaturated halogen-carbon bonds. Dehalogenation is a facile reaction under various conditions, providing potential new routes to all-carbon materials.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3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2216492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Dan Lehnherr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David D. Ford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Naomi S. Rajapaksa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Eric N. Jacobsen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Harvard University, Cambridge,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5" w:anchor="2216492" w:history="1">
                    <w:r w:rsidRPr="0005639F">
                      <w:rPr>
                        <w:rFonts w:ascii="Times New Roman" w:eastAsia="Times New Roman" w:hAnsi="Times New Roman" w:cs="Times New Roman"/>
                        <w:color w:val="0000FF"/>
                        <w:sz w:val="20"/>
                        <w:szCs w:val="20"/>
                        <w:u w:val="single"/>
                      </w:rPr>
                      <w:t>Anion abstraction catalysis: Mechanistic studies and development of dimeric thiourea catalysts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Hydrogen bond (H-bond) donors, such as chiral thiourea derivatives, are an emerging class of catalysts that can promote a range of highly enantioselective transformations. In some of these reactions, it has been postulated that the H-bond donor catalyst abstracts an anion from a neutral organic precursor to generate a cationic electrophile. This reactive ion pair intermediate can then undergo enantioselective attack by a nucleophile to afford the enantioenriched product. While this mode of activation has been proposed for a number of transformations, little is known about the mechanistic details. A mechanistic study of a prototypical anion-abstraction reaction catalyzed by H-bond donors will be presented that sheds light onto this topic and reveals unanticipated complexities.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Our study revealed three key features of the reaction: 1) two molecules of catalyst work cooperatively to activate the electrophile, 2) the catalyst resting state under typical reaction conditions is a non-productive dimeric aggregate and 3) the catalyst exists as a mixture of </w:t>
                  </w:r>
                  <w:r w:rsidRPr="0005639F">
                    <w:rPr>
                      <w:rFonts w:ascii="Times New Roman" w:eastAsia="Times New Roman" w:hAnsi="Times New Roman" w:cs="Times New Roman"/>
                      <w:i/>
                      <w:iCs/>
                      <w:sz w:val="20"/>
                      <w:szCs w:val="20"/>
                    </w:rPr>
                    <w:t>E</w:t>
                  </w:r>
                  <w:r w:rsidRPr="0005639F">
                    <w:rPr>
                      <w:rFonts w:ascii="Times New Roman" w:eastAsia="Times New Roman" w:hAnsi="Times New Roman" w:cs="Times New Roman"/>
                      <w:sz w:val="20"/>
                      <w:szCs w:val="20"/>
                    </w:rPr>
                    <w:t xml:space="preserve">- and </w:t>
                  </w:r>
                  <w:r w:rsidRPr="0005639F">
                    <w:rPr>
                      <w:rFonts w:ascii="Times New Roman" w:eastAsia="Times New Roman" w:hAnsi="Times New Roman" w:cs="Times New Roman"/>
                      <w:i/>
                      <w:iCs/>
                      <w:sz w:val="20"/>
                      <w:szCs w:val="20"/>
                    </w:rPr>
                    <w:t>Z</w:t>
                  </w:r>
                  <w:r w:rsidRPr="0005639F">
                    <w:rPr>
                      <w:rFonts w:ascii="Times New Roman" w:eastAsia="Times New Roman" w:hAnsi="Times New Roman" w:cs="Times New Roman"/>
                      <w:sz w:val="20"/>
                      <w:szCs w:val="20"/>
                    </w:rPr>
                    <w:t>-amide rotamers, thus there are potentially three different combinations of pairwise rotamers that could exist in the key transition-and ground-state structures. These results provide insight for structural modifications of the catalyst towards improving catalyst activity, a long-standing problem in thiourea-catalysis in which high catalyst loadings (ca. 15 to 20 mol%) and long reaction times (up to several days) are typical.</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The mechanistically guided catalyst design for improved catalysis includes: 1) covalently linking two thioureas to both enhance cooperative activation of the electrophile and prevent deactivation of the catalyst resulting from aggregation and 2) conformationally biasing the amide fragment of the catalyst into the rotamer associated with the higher enantioselective pathway. Application of these design elements allowed for the development of highly active catalysts able to operate with loadings below 1 mol% while maintaining high levels of enantioselectivity. These results illustrate the feasibility of highly active catalysis based on H-bonding from thioureas, and suggest that dimeric thiourea catalysts may provide a general strategy for achieving highly active catalysts in the field of anion-abstraction catalysis.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3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2228308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Joshua Dudley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Liana A. Feinn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Adiel Coca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Southern CT State University, New Haven,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6" w:anchor="2228308" w:history="1">
                    <w:r w:rsidRPr="0005639F">
                      <w:rPr>
                        <w:rFonts w:ascii="Times New Roman" w:eastAsia="Times New Roman" w:hAnsi="Times New Roman" w:cs="Times New Roman"/>
                        <w:color w:val="0000FF"/>
                        <w:sz w:val="20"/>
                        <w:szCs w:val="20"/>
                        <w:u w:val="single"/>
                      </w:rPr>
                      <w:t>Synthesis of 5-Substituted 1</w:t>
                    </w:r>
                    <w:r w:rsidRPr="0005639F">
                      <w:rPr>
                        <w:rFonts w:ascii="Times New Roman" w:eastAsia="Times New Roman" w:hAnsi="Times New Roman" w:cs="Times New Roman"/>
                        <w:i/>
                        <w:iCs/>
                        <w:color w:val="0000FF"/>
                        <w:sz w:val="20"/>
                        <w:szCs w:val="20"/>
                        <w:u w:val="single"/>
                      </w:rPr>
                      <w:t>H-</w:t>
                    </w:r>
                    <w:r w:rsidRPr="0005639F">
                      <w:rPr>
                        <w:rFonts w:ascii="Times New Roman" w:eastAsia="Times New Roman" w:hAnsi="Times New Roman" w:cs="Times New Roman"/>
                        <w:color w:val="0000FF"/>
                        <w:sz w:val="20"/>
                        <w:szCs w:val="20"/>
                        <w:u w:val="single"/>
                      </w:rPr>
                      <w:t>Tetrazoles Catalyzed by Post-Transitional Metals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Several 5-substituted 1</w:t>
                  </w:r>
                  <w:r w:rsidRPr="0005639F">
                    <w:rPr>
                      <w:rFonts w:ascii="Times New Roman" w:eastAsia="Times New Roman" w:hAnsi="Times New Roman" w:cs="Times New Roman"/>
                      <w:i/>
                      <w:iCs/>
                      <w:sz w:val="20"/>
                      <w:szCs w:val="20"/>
                    </w:rPr>
                    <w:t>H</w:t>
                  </w:r>
                  <w:r w:rsidRPr="0005639F">
                    <w:rPr>
                      <w:rFonts w:ascii="Times New Roman" w:eastAsia="Times New Roman" w:hAnsi="Times New Roman" w:cs="Times New Roman"/>
                      <w:sz w:val="20"/>
                      <w:szCs w:val="20"/>
                    </w:rPr>
                    <w:t>-tetrazoles were synthesized in water using microwave heating in high yield. The cycloaddition between organonitriles and sodium azide was catalyzed by indium chloride and bismuth chloride.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r w:rsidRPr="0005639F">
                    <w:rPr>
                      <w:rFonts w:ascii="Times New Roman" w:eastAsia="Times New Roman" w:hAnsi="Times New Roman" w:cs="Times New Roman"/>
                      <w:sz w:val="20"/>
                      <w:szCs w:val="20"/>
                    </w:rPr>
                    <w:t>Accept</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3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2257682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Jessica R. Lamb</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Geoffrey W. Coates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 Ithaca, NY, United States. </w:t>
                  </w:r>
                  <w:r w:rsidRPr="0005639F">
                    <w:rPr>
                      <w:rFonts w:ascii="Times New Roman" w:eastAsia="Times New Roman" w:hAnsi="Times New Roman" w:cs="Times New Roman"/>
                      <w:sz w:val="20"/>
                      <w:szCs w:val="20"/>
                    </w:rPr>
                    <w:br/>
                    <w:t xml:space="preserve">2.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7" w:anchor="2257682" w:history="1">
                    <w:r w:rsidRPr="0005639F">
                      <w:rPr>
                        <w:rFonts w:ascii="Times New Roman" w:eastAsia="Times New Roman" w:hAnsi="Times New Roman" w:cs="Times New Roman"/>
                        <w:b/>
                        <w:bCs/>
                        <w:color w:val="0000FF"/>
                        <w:sz w:val="20"/>
                        <w:szCs w:val="20"/>
                        <w:u w:val="single"/>
                      </w:rPr>
                      <w:t>[Lewis Acid]</w:t>
                    </w:r>
                    <w:r w:rsidRPr="0005639F">
                      <w:rPr>
                        <w:rFonts w:ascii="Times New Roman" w:eastAsia="Times New Roman" w:hAnsi="Times New Roman" w:cs="Times New Roman"/>
                        <w:b/>
                        <w:bCs/>
                        <w:color w:val="0000FF"/>
                        <w:sz w:val="20"/>
                        <w:szCs w:val="20"/>
                        <w:u w:val="single"/>
                        <w:vertAlign w:val="superscript"/>
                      </w:rPr>
                      <w:t>+</w:t>
                    </w:r>
                    <w:r w:rsidRPr="0005639F">
                      <w:rPr>
                        <w:rFonts w:ascii="Times New Roman" w:eastAsia="Times New Roman" w:hAnsi="Times New Roman" w:cs="Times New Roman"/>
                        <w:b/>
                        <w:bCs/>
                        <w:color w:val="0000FF"/>
                        <w:sz w:val="20"/>
                        <w:szCs w:val="20"/>
                        <w:u w:val="single"/>
                      </w:rPr>
                      <w:t>[Co(CO)</w:t>
                    </w:r>
                    <w:r w:rsidRPr="0005639F">
                      <w:rPr>
                        <w:rFonts w:ascii="Times New Roman" w:eastAsia="Times New Roman" w:hAnsi="Times New Roman" w:cs="Times New Roman"/>
                        <w:b/>
                        <w:bCs/>
                        <w:color w:val="0000FF"/>
                        <w:sz w:val="20"/>
                        <w:szCs w:val="20"/>
                        <w:u w:val="single"/>
                        <w:vertAlign w:val="subscript"/>
                      </w:rPr>
                      <w:t>4</w:t>
                    </w:r>
                    <w:r w:rsidRPr="0005639F">
                      <w:rPr>
                        <w:rFonts w:ascii="Times New Roman" w:eastAsia="Times New Roman" w:hAnsi="Times New Roman" w:cs="Times New Roman"/>
                        <w:b/>
                        <w:bCs/>
                        <w:color w:val="0000FF"/>
                        <w:sz w:val="20"/>
                        <w:szCs w:val="20"/>
                        <w:u w:val="single"/>
                      </w:rPr>
                      <w:t>]</w:t>
                    </w:r>
                    <w:r w:rsidRPr="0005639F">
                      <w:rPr>
                        <w:rFonts w:ascii="Times New Roman" w:eastAsia="Times New Roman" w:hAnsi="Times New Roman" w:cs="Times New Roman"/>
                        <w:b/>
                        <w:bCs/>
                        <w:color w:val="0000FF"/>
                        <w:sz w:val="20"/>
                        <w:szCs w:val="20"/>
                        <w:u w:val="single"/>
                        <w:vertAlign w:val="superscript"/>
                      </w:rPr>
                      <w:t xml:space="preserve">− </w:t>
                    </w:r>
                    <w:r w:rsidRPr="0005639F">
                      <w:rPr>
                        <w:rFonts w:ascii="Times New Roman" w:eastAsia="Times New Roman" w:hAnsi="Times New Roman" w:cs="Times New Roman"/>
                        <w:b/>
                        <w:bCs/>
                        <w:color w:val="0000FF"/>
                        <w:sz w:val="20"/>
                        <w:szCs w:val="20"/>
                        <w:u w:val="single"/>
                      </w:rPr>
                      <w:t>Catalysts for Enantio- and Regioselective Transformations of Epoxides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This talk addresses recent advances in epoxide transformations using catalysts of the form [Lewis acid]</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[Co(CO)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First, these catalysts were shown to effect enantioselective carbonylation to yield enantioenriched </w:t>
                  </w:r>
                  <w:r w:rsidRPr="0005639F">
                    <w:rPr>
                      <w:rFonts w:ascii="Times New Roman" w:eastAsia="Times New Roman" w:hAnsi="Times New Roman" w:cs="Times New Roman"/>
                      <w:i/>
                      <w:iCs/>
                      <w:sz w:val="20"/>
                      <w:szCs w:val="20"/>
                    </w:rPr>
                    <w:t>trans</w:t>
                  </w:r>
                  <w:r w:rsidRPr="0005639F">
                    <w:rPr>
                      <w:rFonts w:ascii="Times New Roman" w:eastAsia="Times New Roman" w:hAnsi="Times New Roman" w:cs="Times New Roman"/>
                      <w:sz w:val="20"/>
                      <w:szCs w:val="20"/>
                    </w:rPr>
                    <w:t xml:space="preserve">-β-lactones from </w:t>
                  </w:r>
                  <w:r w:rsidRPr="0005639F">
                    <w:rPr>
                      <w:rFonts w:ascii="Times New Roman" w:eastAsia="Times New Roman" w:hAnsi="Times New Roman" w:cs="Times New Roman"/>
                      <w:i/>
                      <w:iCs/>
                      <w:sz w:val="20"/>
                      <w:szCs w:val="20"/>
                    </w:rPr>
                    <w:t>meso</w:t>
                  </w:r>
                  <w:r w:rsidRPr="0005639F">
                    <w:rPr>
                      <w:rFonts w:ascii="Times New Roman" w:eastAsia="Times New Roman" w:hAnsi="Times New Roman" w:cs="Times New Roman"/>
                      <w:sz w:val="20"/>
                      <w:szCs w:val="20"/>
                    </w:rPr>
                    <w:t>-epoxides. Fine-tuning the electronic properties of the ligand further improved enantioselectivity while revealing an unexpected relationship between the substrate’s steric environment and the electronic nature of the optimal catalyst. Second, a known side reaction of carbonylation was investigated to selectively give methyl ketones from monosubstituted epoxides in excellent yields. This system showed good functional group tolerance under mild conditions and low catalyst loadings compared to previous methods.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3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2257878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Syed K. Hasan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R&amp;D, Immunotrex Corp, Tyngsborough,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8" w:anchor="2257878" w:history="1">
                    <w:r w:rsidRPr="0005639F">
                      <w:rPr>
                        <w:rFonts w:ascii="Times New Roman" w:eastAsia="Times New Roman" w:hAnsi="Times New Roman" w:cs="Times New Roman"/>
                        <w:b/>
                        <w:bCs/>
                        <w:color w:val="0000FF"/>
                        <w:sz w:val="20"/>
                        <w:szCs w:val="20"/>
                        <w:u w:val="single"/>
                      </w:rPr>
                      <w:t>Water Soluble Nanoparticle Carriers to Directly Deliver Prednisone to Endothelial Cells In Septic Shock Syndrome</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br/>
                    <w:t>Syed K. Hasan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Bhavna Gupta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Sougata Kamarkar, Ted Germond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and Arthur Watterson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i/>
                      <w:iCs/>
                      <w:sz w:val="20"/>
                      <w:szCs w:val="20"/>
                      <w:vertAlign w:val="superscript"/>
                    </w:rPr>
                    <w:t>1</w:t>
                  </w:r>
                  <w:r w:rsidRPr="0005639F">
                    <w:rPr>
                      <w:rFonts w:ascii="Times New Roman" w:eastAsia="Times New Roman" w:hAnsi="Times New Roman" w:cs="Times New Roman"/>
                      <w:i/>
                      <w:iCs/>
                      <w:sz w:val="20"/>
                      <w:szCs w:val="20"/>
                    </w:rPr>
                    <w:t>Immunotrex Biologics, Inc, 100 Business Park Drive Suite #4, Tyngsborough, MA 01879</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i/>
                      <w:iCs/>
                      <w:sz w:val="20"/>
                      <w:szCs w:val="20"/>
                      <w:vertAlign w:val="superscript"/>
                    </w:rPr>
                    <w:t>2</w:t>
                  </w:r>
                  <w:r w:rsidRPr="0005639F">
                    <w:rPr>
                      <w:rFonts w:ascii="Times New Roman" w:eastAsia="Times New Roman" w:hAnsi="Times New Roman" w:cs="Times New Roman"/>
                      <w:i/>
                      <w:iCs/>
                      <w:sz w:val="20"/>
                      <w:szCs w:val="20"/>
                    </w:rPr>
                    <w:t>Institute of Nano-science and Engineering Technology, Department of Chemistry, University of Massachusetts Lowell, MA</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Septic shock syndrome; a medical emergency caused by drastic decrease in tissue perfusion and oxygenation is a </w:t>
                  </w:r>
                  <w:r w:rsidRPr="0005639F">
                    <w:rPr>
                      <w:rFonts w:ascii="Times New Roman" w:eastAsia="Times New Roman" w:hAnsi="Times New Roman" w:cs="Times New Roman"/>
                      <w:sz w:val="20"/>
                      <w:szCs w:val="20"/>
                    </w:rPr>
                    <w:lastRenderedPageBreak/>
                    <w:t>leading cause of death worldwide for non-coronary ICU patients. The pathogenesis of sepsis involves various pathophysiologic sequelae including hypotension, vasodilatation, vascular leakage, and activation of multiple pathways involved in coagulation cascades, which leads to thrombocytopenia (low platelet count) and impaired peripheral circulation (despite increase in cardiac output).</w:t>
                  </w:r>
                  <w:r w:rsidRPr="0005639F">
                    <w:rPr>
                      <w:rFonts w:ascii="Times New Roman" w:eastAsia="Times New Roman" w:hAnsi="Times New Roman" w:cs="Times New Roman"/>
                      <w:sz w:val="20"/>
                      <w:szCs w:val="20"/>
                    </w:rPr>
                    <w:br/>
                    <w:t>We have developed an advanced drug delivery system; “</w:t>
                  </w:r>
                  <w:r w:rsidRPr="0005639F">
                    <w:rPr>
                      <w:rFonts w:ascii="Times New Roman" w:eastAsia="Times New Roman" w:hAnsi="Times New Roman" w:cs="Times New Roman"/>
                      <w:b/>
                      <w:bCs/>
                      <w:sz w:val="20"/>
                      <w:szCs w:val="20"/>
                      <w:u w:val="single"/>
                    </w:rPr>
                    <w:t>a nanoparticle drug delivery system</w:t>
                  </w:r>
                  <w:r w:rsidRPr="0005639F">
                    <w:rPr>
                      <w:rFonts w:ascii="Times New Roman" w:eastAsia="Times New Roman" w:hAnsi="Times New Roman" w:cs="Times New Roman"/>
                      <w:sz w:val="20"/>
                      <w:szCs w:val="20"/>
                    </w:rPr>
                    <w:t>” based on a water soluble biologically inert polymer. The polymer(s) form a micelle in aqueous solutions that encapsulate hydrophobic molecules. Prednisone encapsulation by the PEG based polymers and characterization of these polymers using spectroscopic techniques will be discussed along with performance and accuracy of the nanoparticle with an endothelial ligand.[1-2] Proper drug delivery to endothelial cells to shut down the process of capillaries leaking interstitial fluid into the extracellular compartment would decrease morbidity and mortality rates due to hypotension in septic shock.</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b/>
                      <w:bCs/>
                      <w:sz w:val="20"/>
                      <w:szCs w:val="20"/>
                    </w:rPr>
                    <w:t>Atomic Force Microscopy of PEG nano-particles loaded with FITC. The horizontal distance between the two red arrows is 19.6 nm</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3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2283034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Nadine Kuhl</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Kaid Harper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Yongho Park</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Richard Y. Liu</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Eric N. Jacobsen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Harvard Univ, Cambridge, MA, United States. </w:t>
                  </w:r>
                  <w:r w:rsidRPr="0005639F">
                    <w:rPr>
                      <w:rFonts w:ascii="Times New Roman" w:eastAsia="Times New Roman" w:hAnsi="Times New Roman" w:cs="Times New Roman"/>
                      <w:sz w:val="20"/>
                      <w:szCs w:val="20"/>
                    </w:rPr>
                    <w:br/>
                    <w:t xml:space="preserve">2. Harvard University, Cambridge, MA, United States. </w:t>
                  </w:r>
                  <w:r w:rsidRPr="0005639F">
                    <w:rPr>
                      <w:rFonts w:ascii="Times New Roman" w:eastAsia="Times New Roman" w:hAnsi="Times New Roman" w:cs="Times New Roman"/>
                      <w:sz w:val="20"/>
                      <w:szCs w:val="20"/>
                    </w:rPr>
                    <w:br/>
                    <w:t xml:space="preserve">3. Harvard University, Cambridge,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69" w:anchor="2283034" w:history="1">
                    <w:r w:rsidRPr="0005639F">
                      <w:rPr>
                        <w:rFonts w:ascii="Times New Roman" w:eastAsia="Times New Roman" w:hAnsi="Times New Roman" w:cs="Times New Roman"/>
                        <w:b/>
                        <w:bCs/>
                        <w:color w:val="0000FF"/>
                        <w:sz w:val="20"/>
                        <w:szCs w:val="20"/>
                        <w:u w:val="single"/>
                      </w:rPr>
                      <w:t xml:space="preserve">A General Approach for Catalytic </w:t>
                    </w:r>
                    <w:r w:rsidRPr="0005639F">
                      <w:rPr>
                        <w:rFonts w:ascii="Times New Roman" w:eastAsia="Times New Roman" w:hAnsi="Times New Roman" w:cs="Times New Roman"/>
                        <w:b/>
                        <w:bCs/>
                        <w:i/>
                        <w:iCs/>
                        <w:color w:val="0000FF"/>
                        <w:sz w:val="20"/>
                        <w:szCs w:val="20"/>
                        <w:u w:val="single"/>
                      </w:rPr>
                      <w:t>β</w:t>
                    </w:r>
                    <w:r w:rsidRPr="0005639F">
                      <w:rPr>
                        <w:rFonts w:ascii="Times New Roman" w:eastAsia="Times New Roman" w:hAnsi="Times New Roman" w:cs="Times New Roman"/>
                        <w:b/>
                        <w:bCs/>
                        <w:color w:val="0000FF"/>
                        <w:sz w:val="20"/>
                        <w:szCs w:val="20"/>
                        <w:u w:val="single"/>
                      </w:rPr>
                      <w:t xml:space="preserve">-Selective Glycosidation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Decorating the cell surfaces of every organism, oligosaccharides are involved in various signaling pathways at a cellular level. Despite their biological prevalence and importance, the efficient synthesis of oligosaccharides, and in particular, selectively linking monosaccharide units through glycosidic bonds, still represents a major challenge for synthetic chemists.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A glycosidic linkage can exist in two different configurations, </w:t>
                  </w:r>
                  <w:r w:rsidRPr="0005639F">
                    <w:rPr>
                      <w:rFonts w:ascii="Times New Roman" w:eastAsia="Times New Roman" w:hAnsi="Times New Roman" w:cs="Times New Roman"/>
                      <w:i/>
                      <w:iCs/>
                      <w:sz w:val="20"/>
                      <w:szCs w:val="20"/>
                    </w:rPr>
                    <w:t>α</w:t>
                  </w:r>
                  <w:r w:rsidRPr="0005639F">
                    <w:rPr>
                      <w:rFonts w:ascii="Times New Roman" w:eastAsia="Times New Roman" w:hAnsi="Times New Roman" w:cs="Times New Roman"/>
                      <w:sz w:val="20"/>
                      <w:szCs w:val="20"/>
                    </w:rPr>
                    <w:t xml:space="preserve"> or </w:t>
                  </w:r>
                  <w:r w:rsidRPr="0005639F">
                    <w:rPr>
                      <w:rFonts w:ascii="Times New Roman" w:eastAsia="Times New Roman" w:hAnsi="Times New Roman" w:cs="Times New Roman"/>
                      <w:i/>
                      <w:iCs/>
                      <w:sz w:val="20"/>
                      <w:szCs w:val="20"/>
                    </w:rPr>
                    <w:t>β</w:t>
                  </w:r>
                  <w:r w:rsidRPr="0005639F">
                    <w:rPr>
                      <w:rFonts w:ascii="Times New Roman" w:eastAsia="Times New Roman" w:hAnsi="Times New Roman" w:cs="Times New Roman"/>
                      <w:sz w:val="20"/>
                      <w:szCs w:val="20"/>
                    </w:rPr>
                    <w:t>, depending on its stereochemistry at the anomeric position. The stereochemical outcome of a glycosidation reaction can vary significantly by slightly changing the steric and electronic nature of the substrate or the reaction conditions. This adds additional complexity and renders the development of general and practical methods similar to those of other biopolymers, such as polypeptides and polynucleotides, difficult.</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To allow selective formation of glycosidic linkages independent from inherent substrate bias, the use of anion-binding thiourea-catalysts has been invoked as an alternative approach. A new macrocyclic thiourea-catalyst was developed that mimics the stereospecific mechanism of glycosyltransferases and allows for the selective formation </w:t>
                  </w:r>
                  <w:r w:rsidRPr="0005639F">
                    <w:rPr>
                      <w:rFonts w:ascii="Times New Roman" w:eastAsia="Times New Roman" w:hAnsi="Times New Roman" w:cs="Times New Roman"/>
                      <w:i/>
                      <w:iCs/>
                      <w:sz w:val="20"/>
                      <w:szCs w:val="20"/>
                    </w:rPr>
                    <w:t>β</w:t>
                  </w:r>
                  <w:r w:rsidRPr="0005639F">
                    <w:rPr>
                      <w:rFonts w:ascii="Times New Roman" w:eastAsia="Times New Roman" w:hAnsi="Times New Roman" w:cs="Times New Roman"/>
                      <w:sz w:val="20"/>
                      <w:szCs w:val="20"/>
                    </w:rPr>
                    <w:t xml:space="preserve">-linked disaccharides from </w:t>
                  </w:r>
                  <w:r w:rsidRPr="0005639F">
                    <w:rPr>
                      <w:rFonts w:ascii="Times New Roman" w:eastAsia="Times New Roman" w:hAnsi="Times New Roman" w:cs="Times New Roman"/>
                      <w:i/>
                      <w:iCs/>
                      <w:sz w:val="20"/>
                      <w:szCs w:val="20"/>
                    </w:rPr>
                    <w:t>α</w:t>
                  </w:r>
                  <w:r w:rsidRPr="0005639F">
                    <w:rPr>
                      <w:rFonts w:ascii="Times New Roman" w:eastAsia="Times New Roman" w:hAnsi="Times New Roman" w:cs="Times New Roman"/>
                      <w:sz w:val="20"/>
                      <w:szCs w:val="20"/>
                    </w:rPr>
                    <w:t>-configured glycosyl chlorides. The net invertive transformation proved to be generally applicable for different classes of glycosides. 1,2-</w:t>
                  </w:r>
                  <w:r w:rsidRPr="0005639F">
                    <w:rPr>
                      <w:rFonts w:ascii="Times New Roman" w:eastAsia="Times New Roman" w:hAnsi="Times New Roman" w:cs="Times New Roman"/>
                      <w:i/>
                      <w:iCs/>
                      <w:sz w:val="20"/>
                      <w:szCs w:val="20"/>
                    </w:rPr>
                    <w:t>trans</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β</w:t>
                  </w:r>
                  <w:r w:rsidRPr="0005639F">
                    <w:rPr>
                      <w:rFonts w:ascii="Times New Roman" w:eastAsia="Times New Roman" w:hAnsi="Times New Roman" w:cs="Times New Roman"/>
                      <w:sz w:val="20"/>
                      <w:szCs w:val="20"/>
                    </w:rPr>
                    <w:t xml:space="preserve">-linked disaccharides using galactosyl-, glucosyl- and related 2-acetamido-donors, as well as the more challenging classes of </w:t>
                  </w:r>
                  <w:r w:rsidRPr="0005639F">
                    <w:rPr>
                      <w:rFonts w:ascii="Times New Roman" w:eastAsia="Times New Roman" w:hAnsi="Times New Roman" w:cs="Times New Roman"/>
                      <w:i/>
                      <w:iCs/>
                      <w:sz w:val="20"/>
                      <w:szCs w:val="20"/>
                    </w:rPr>
                    <w:t>β</w:t>
                  </w:r>
                  <w:r w:rsidRPr="0005639F">
                    <w:rPr>
                      <w:rFonts w:ascii="Times New Roman" w:eastAsia="Times New Roman" w:hAnsi="Times New Roman" w:cs="Times New Roman"/>
                      <w:sz w:val="20"/>
                      <w:szCs w:val="20"/>
                    </w:rPr>
                    <w:t>-linked deoxy-sugars, 1,2-</w:t>
                  </w:r>
                  <w:r w:rsidRPr="0005639F">
                    <w:rPr>
                      <w:rFonts w:ascii="Times New Roman" w:eastAsia="Times New Roman" w:hAnsi="Times New Roman" w:cs="Times New Roman"/>
                      <w:i/>
                      <w:iCs/>
                      <w:sz w:val="20"/>
                      <w:szCs w:val="20"/>
                    </w:rPr>
                    <w:t>cis</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β</w:t>
                  </w:r>
                  <w:r w:rsidRPr="0005639F">
                    <w:rPr>
                      <w:rFonts w:ascii="Times New Roman" w:eastAsia="Times New Roman" w:hAnsi="Times New Roman" w:cs="Times New Roman"/>
                      <w:sz w:val="20"/>
                      <w:szCs w:val="20"/>
                    </w:rPr>
                    <w:t xml:space="preserve">-linked mannosides and rhamnosides could be generated in synthetically useful yields and selectivities. Details of this novel, catalytic glycosidation method, including preliminary mechanistic studies and first attempts towards a </w:t>
                  </w:r>
                  <w:r w:rsidRPr="0005639F">
                    <w:rPr>
                      <w:rFonts w:ascii="Times New Roman" w:eastAsia="Times New Roman" w:hAnsi="Times New Roman" w:cs="Times New Roman"/>
                      <w:sz w:val="20"/>
                      <w:szCs w:val="20"/>
                    </w:rPr>
                    <w:lastRenderedPageBreak/>
                    <w:t xml:space="preserve">related </w:t>
                  </w:r>
                  <w:r w:rsidRPr="0005639F">
                    <w:rPr>
                      <w:rFonts w:ascii="Times New Roman" w:eastAsia="Times New Roman" w:hAnsi="Times New Roman" w:cs="Times New Roman"/>
                      <w:i/>
                      <w:iCs/>
                      <w:sz w:val="20"/>
                      <w:szCs w:val="20"/>
                    </w:rPr>
                    <w:t>α</w:t>
                  </w:r>
                  <w:r w:rsidRPr="0005639F">
                    <w:rPr>
                      <w:rFonts w:ascii="Times New Roman" w:eastAsia="Times New Roman" w:hAnsi="Times New Roman" w:cs="Times New Roman"/>
                      <w:sz w:val="20"/>
                      <w:szCs w:val="20"/>
                    </w:rPr>
                    <w:t xml:space="preserve"> -selective approach are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2284759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Parvathi S. Murthy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Renee Winkler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Georgian Court University, Lakewood,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0" w:anchor="2284759" w:history="1">
                    <w:r w:rsidRPr="0005639F">
                      <w:rPr>
                        <w:rFonts w:ascii="Times New Roman" w:eastAsia="Times New Roman" w:hAnsi="Times New Roman" w:cs="Times New Roman"/>
                        <w:b/>
                        <w:bCs/>
                        <w:color w:val="0000FF"/>
                        <w:sz w:val="20"/>
                        <w:szCs w:val="20"/>
                        <w:u w:val="single"/>
                      </w:rPr>
                      <w:t xml:space="preserve">A new boron intermediate in carbonyl reduction by borohydride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stereoselectivity induced in the borohydride reduction of carbonyl compounds with a α–chiral carbon has been studied for five decades. Mechanistic models that take into account the nature of the substituents on the α -carbon have been used to account for the induced stereoselectivity. These existing models fail to explain the high stereoselectivity observed in the borohydride reduction of the multifunctional substrate benzil (</w:t>
                  </w:r>
                  <w:r w:rsidRPr="0005639F">
                    <w:rPr>
                      <w:rFonts w:ascii="Times New Roman" w:eastAsia="Times New Roman" w:hAnsi="Times New Roman" w:cs="Times New Roman"/>
                      <w:b/>
                      <w:bCs/>
                      <w:sz w:val="20"/>
                      <w:szCs w:val="20"/>
                    </w:rPr>
                    <w:t>A</w:t>
                  </w:r>
                  <w:r w:rsidRPr="0005639F">
                    <w:rPr>
                      <w:rFonts w:ascii="Times New Roman" w:eastAsia="Times New Roman" w:hAnsi="Times New Roman" w:cs="Times New Roman"/>
                      <w:sz w:val="20"/>
                      <w:szCs w:val="20"/>
                    </w:rPr>
                    <w:t xml:space="preserve">) proceeding </w:t>
                  </w:r>
                  <w:r w:rsidRPr="0005639F">
                    <w:rPr>
                      <w:rFonts w:ascii="Times New Roman" w:eastAsia="Times New Roman" w:hAnsi="Times New Roman" w:cs="Times New Roman"/>
                      <w:i/>
                      <w:iCs/>
                      <w:sz w:val="20"/>
                      <w:szCs w:val="20"/>
                    </w:rPr>
                    <w:t xml:space="preserve">via </w:t>
                  </w:r>
                  <w:r w:rsidRPr="0005639F">
                    <w:rPr>
                      <w:rFonts w:ascii="Times New Roman" w:eastAsia="Times New Roman" w:hAnsi="Times New Roman" w:cs="Times New Roman"/>
                      <w:sz w:val="20"/>
                      <w:szCs w:val="20"/>
                    </w:rPr>
                    <w:t xml:space="preserve">the intermediate </w:t>
                  </w:r>
                  <w:r w:rsidRPr="0005639F">
                    <w:rPr>
                      <w:rFonts w:ascii="Times New Roman" w:eastAsia="Times New Roman" w:hAnsi="Times New Roman" w:cs="Times New Roman"/>
                      <w:b/>
                      <w:bCs/>
                      <w:sz w:val="20"/>
                      <w:szCs w:val="20"/>
                    </w:rPr>
                    <w:t xml:space="preserve">B </w:t>
                  </w:r>
                  <w:r w:rsidRPr="0005639F">
                    <w:rPr>
                      <w:rFonts w:ascii="Times New Roman" w:eastAsia="Times New Roman" w:hAnsi="Times New Roman" w:cs="Times New Roman"/>
                      <w:sz w:val="20"/>
                      <w:szCs w:val="20"/>
                    </w:rPr>
                    <w:t>(a carbonyl compound with an α-chiral carbon), to mainly (~89%) the meso-hydrobenzoin (</w:t>
                  </w:r>
                  <w:r w:rsidRPr="0005639F">
                    <w:rPr>
                      <w:rFonts w:ascii="Times New Roman" w:eastAsia="Times New Roman" w:hAnsi="Times New Roman" w:cs="Times New Roman"/>
                      <w:b/>
                      <w:bCs/>
                      <w:sz w:val="20"/>
                      <w:szCs w:val="20"/>
                    </w:rPr>
                    <w:t>F</w:t>
                  </w:r>
                  <w:r w:rsidRPr="0005639F">
                    <w:rPr>
                      <w:rFonts w:ascii="Times New Roman" w:eastAsia="Times New Roman" w:hAnsi="Times New Roman" w:cs="Times New Roman"/>
                      <w:sz w:val="20"/>
                      <w:szCs w:val="20"/>
                    </w:rPr>
                    <w:t xml:space="preserve">) – a common undergraduate laboratory experiment. To address this lack of mechanistic insight, we studied this reaction using stoichiometric and hydrogen-deuterium isotope exchange studies and </w:t>
                  </w:r>
                  <w:r w:rsidRPr="0005639F">
                    <w:rPr>
                      <w:rFonts w:ascii="Times New Roman" w:eastAsia="Times New Roman" w:hAnsi="Times New Roman" w:cs="Times New Roman"/>
                      <w:sz w:val="20"/>
                      <w:szCs w:val="20"/>
                      <w:vertAlign w:val="superscript"/>
                    </w:rPr>
                    <w:t>11</w:t>
                  </w:r>
                  <w:r w:rsidRPr="0005639F">
                    <w:rPr>
                      <w:rFonts w:ascii="Times New Roman" w:eastAsia="Times New Roman" w:hAnsi="Times New Roman" w:cs="Times New Roman"/>
                      <w:sz w:val="20"/>
                      <w:szCs w:val="20"/>
                    </w:rPr>
                    <w:t xml:space="preserve">B spectroscopy. We have obtained evidence for the intermediate spiroborate with </w:t>
                  </w:r>
                  <w:r w:rsidRPr="0005639F">
                    <w:rPr>
                      <w:rFonts w:ascii="Times New Roman" w:eastAsia="Times New Roman" w:hAnsi="Times New Roman" w:cs="Times New Roman"/>
                      <w:i/>
                      <w:iCs/>
                      <w:sz w:val="20"/>
                      <w:szCs w:val="20"/>
                    </w:rPr>
                    <w:t>syn, syn</w:t>
                  </w:r>
                  <w:r w:rsidRPr="0005639F">
                    <w:rPr>
                      <w:rFonts w:ascii="Times New Roman" w:eastAsia="Times New Roman" w:hAnsi="Times New Roman" w:cs="Times New Roman"/>
                      <w:sz w:val="20"/>
                      <w:szCs w:val="20"/>
                    </w:rPr>
                    <w:t xml:space="preserve"> configuration </w:t>
                  </w:r>
                  <w:r w:rsidRPr="0005639F">
                    <w:rPr>
                      <w:rFonts w:ascii="Times New Roman" w:eastAsia="Times New Roman" w:hAnsi="Times New Roman" w:cs="Times New Roman"/>
                      <w:b/>
                      <w:bCs/>
                      <w:sz w:val="20"/>
                      <w:szCs w:val="20"/>
                    </w:rPr>
                    <w:t>(E)</w:t>
                  </w:r>
                  <w:r w:rsidRPr="0005639F">
                    <w:rPr>
                      <w:rFonts w:ascii="Times New Roman" w:eastAsia="Times New Roman" w:hAnsi="Times New Roman" w:cs="Times New Roman"/>
                      <w:sz w:val="20"/>
                      <w:szCs w:val="20"/>
                    </w:rPr>
                    <w:t xml:space="preserve">, formed from the dimeric dialkoxy dihydridoborate dimer </w:t>
                  </w:r>
                  <w:r w:rsidRPr="0005639F">
                    <w:rPr>
                      <w:rFonts w:ascii="Times New Roman" w:eastAsia="Times New Roman" w:hAnsi="Times New Roman" w:cs="Times New Roman"/>
                      <w:b/>
                      <w:bCs/>
                      <w:sz w:val="20"/>
                      <w:szCs w:val="20"/>
                    </w:rPr>
                    <w:t>(D)</w:t>
                  </w:r>
                  <w:r w:rsidRPr="0005639F">
                    <w:rPr>
                      <w:rFonts w:ascii="Times New Roman" w:eastAsia="Times New Roman" w:hAnsi="Times New Roman" w:cs="Times New Roman"/>
                      <w:sz w:val="20"/>
                      <w:szCs w:val="20"/>
                    </w:rPr>
                    <w:t xml:space="preserve"> – a new, hitherto unknown borate species with bridged hydrogens and penta-coordinated boron atoms. Stereospecific intramolecular hydride transfer within this rigid dimer could be the cause of the selective formation of the </w:t>
                  </w:r>
                  <w:r w:rsidRPr="0005639F">
                    <w:rPr>
                      <w:rFonts w:ascii="Times New Roman" w:eastAsia="Times New Roman" w:hAnsi="Times New Roman" w:cs="Times New Roman"/>
                      <w:i/>
                      <w:iCs/>
                      <w:sz w:val="20"/>
                      <w:szCs w:val="20"/>
                    </w:rPr>
                    <w:t>syn, syn-</w:t>
                  </w:r>
                  <w:r w:rsidRPr="0005639F">
                    <w:rPr>
                      <w:rFonts w:ascii="Times New Roman" w:eastAsia="Times New Roman" w:hAnsi="Times New Roman" w:cs="Times New Roman"/>
                      <w:sz w:val="20"/>
                      <w:szCs w:val="20"/>
                    </w:rPr>
                    <w:t>spiroborate (</w:t>
                  </w:r>
                  <w:r w:rsidRPr="0005639F">
                    <w:rPr>
                      <w:rFonts w:ascii="Times New Roman" w:eastAsia="Times New Roman" w:hAnsi="Times New Roman" w:cs="Times New Roman"/>
                      <w:b/>
                      <w:bCs/>
                      <w:sz w:val="20"/>
                      <w:szCs w:val="20"/>
                    </w:rPr>
                    <w:t>E</w:t>
                  </w:r>
                  <w:r w:rsidRPr="0005639F">
                    <w:rPr>
                      <w:rFonts w:ascii="Times New Roman" w:eastAsia="Times New Roman" w:hAnsi="Times New Roman" w:cs="Times New Roman"/>
                      <w:sz w:val="20"/>
                      <w:szCs w:val="20"/>
                    </w:rPr>
                    <w:t>) and hence the</w:t>
                  </w:r>
                  <w:r w:rsidRPr="0005639F">
                    <w:rPr>
                      <w:rFonts w:ascii="Times New Roman" w:eastAsia="Times New Roman" w:hAnsi="Times New Roman" w:cs="Times New Roman"/>
                      <w:i/>
                      <w:iCs/>
                      <w:sz w:val="20"/>
                      <w:szCs w:val="20"/>
                    </w:rPr>
                    <w:t xml:space="preserve"> meso-</w:t>
                  </w:r>
                  <w:r w:rsidRPr="0005639F">
                    <w:rPr>
                      <w:rFonts w:ascii="Times New Roman" w:eastAsia="Times New Roman" w:hAnsi="Times New Roman" w:cs="Times New Roman"/>
                      <w:sz w:val="20"/>
                      <w:szCs w:val="20"/>
                    </w:rPr>
                    <w:t>diol (</w:t>
                  </w:r>
                  <w:r w:rsidRPr="0005639F">
                    <w:rPr>
                      <w:rFonts w:ascii="Times New Roman" w:eastAsia="Times New Roman" w:hAnsi="Times New Roman" w:cs="Times New Roman"/>
                      <w:b/>
                      <w:bCs/>
                      <w:sz w:val="20"/>
                      <w:szCs w:val="20"/>
                    </w:rPr>
                    <w:t>F)</w:t>
                  </w:r>
                  <w:r w:rsidRPr="0005639F">
                    <w:rPr>
                      <w:rFonts w:ascii="Times New Roman" w:eastAsia="Times New Roman" w:hAnsi="Times New Roman" w:cs="Times New Roman"/>
                      <w:sz w:val="20"/>
                      <w:szCs w:val="20"/>
                    </w:rPr>
                    <w:t xml:space="preserve"> observed in this reaction. The newly discovered dimerization equilibria is likely to be present in all reduction reactions with borohydride and could be a significant factor in influencing selectivity in the borohydride reduction of carbonyl compounds with a α–chiral carbon.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2285789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Robert C. Lapo</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Stephen P. Fearnley</w:t>
                  </w:r>
                  <w:r w:rsidRPr="0005639F">
                    <w:rPr>
                      <w:rFonts w:ascii="Times New Roman" w:eastAsia="Times New Roman" w:hAnsi="Times New Roman" w:cs="Times New Roman"/>
                      <w:sz w:val="20"/>
                      <w:szCs w:val="20"/>
                      <w:vertAlign w:val="superscript"/>
                    </w:rPr>
                    <w:t>1, 2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CUNY-York College, Jamaica, NY, United States. </w:t>
                  </w:r>
                  <w:r w:rsidRPr="0005639F">
                    <w:rPr>
                      <w:rFonts w:ascii="Times New Roman" w:eastAsia="Times New Roman" w:hAnsi="Times New Roman" w:cs="Times New Roman"/>
                      <w:sz w:val="20"/>
                      <w:szCs w:val="20"/>
                    </w:rPr>
                    <w:br/>
                    <w:t xml:space="preserve">2. Ph.D. Program in Chemistry, The Graduate Center of the City University of New York,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1" w:anchor="2285789" w:history="1">
                    <w:r w:rsidRPr="0005639F">
                      <w:rPr>
                        <w:rFonts w:ascii="Times New Roman" w:eastAsia="Times New Roman" w:hAnsi="Times New Roman" w:cs="Times New Roman"/>
                        <w:color w:val="0000FF"/>
                        <w:sz w:val="20"/>
                        <w:szCs w:val="20"/>
                        <w:u w:val="single"/>
                      </w:rPr>
                      <w:t>Oxazolone cycloadducts as versatile frameworks for alkaloid synthesis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intramolecular Diels-Alder reaction of N-substituted oxazolones provides a variety of heterocyclic frameworks with obvious potential for alkaloid synthesis. Two main strategies are currently under investigation – </w:t>
                  </w:r>
                  <w:r w:rsidRPr="0005639F">
                    <w:rPr>
                      <w:rFonts w:ascii="Times New Roman" w:eastAsia="Times New Roman" w:hAnsi="Times New Roman" w:cs="Times New Roman"/>
                      <w:sz w:val="20"/>
                      <w:szCs w:val="20"/>
                    </w:rPr>
                    <w:lastRenderedPageBreak/>
                    <w:t xml:space="preserve">either </w:t>
                  </w:r>
                  <w:r w:rsidRPr="0005639F">
                    <w:rPr>
                      <w:rFonts w:ascii="Times New Roman" w:eastAsia="Times New Roman" w:hAnsi="Times New Roman" w:cs="Times New Roman"/>
                      <w:sz w:val="20"/>
                      <w:szCs w:val="20"/>
                      <w:u w:val="single"/>
                    </w:rPr>
                    <w:t>Direct Incorporation</w:t>
                  </w:r>
                  <w:r w:rsidRPr="0005639F">
                    <w:rPr>
                      <w:rFonts w:ascii="Times New Roman" w:eastAsia="Times New Roman" w:hAnsi="Times New Roman" w:cs="Times New Roman"/>
                      <w:sz w:val="20"/>
                      <w:szCs w:val="20"/>
                    </w:rPr>
                    <w:t xml:space="preserve"> of the immediate cycloadduct scaffold itself, or </w:t>
                  </w:r>
                  <w:r w:rsidRPr="0005639F">
                    <w:rPr>
                      <w:rFonts w:ascii="Times New Roman" w:eastAsia="Times New Roman" w:hAnsi="Times New Roman" w:cs="Times New Roman"/>
                      <w:sz w:val="20"/>
                      <w:szCs w:val="20"/>
                      <w:u w:val="single"/>
                    </w:rPr>
                    <w:t>Rearrangement</w:t>
                  </w:r>
                  <w:r w:rsidRPr="0005639F">
                    <w:rPr>
                      <w:rFonts w:ascii="Times New Roman" w:eastAsia="Times New Roman" w:hAnsi="Times New Roman" w:cs="Times New Roman"/>
                      <w:sz w:val="20"/>
                      <w:szCs w:val="20"/>
                    </w:rPr>
                    <w:t xml:space="preserve"> to complementary patterns with further applications. Divergent synthesis of several distinct alkaloid classes from individual cycloadducts is currently underway.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2288161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Sam Hein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Hasan Arslan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William Dichtel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Cornell University, Ithaca, NY, United States. </w:t>
                  </w:r>
                  <w:r w:rsidRPr="0005639F">
                    <w:rPr>
                      <w:rFonts w:ascii="Times New Roman" w:eastAsia="Times New Roman" w:hAnsi="Times New Roman" w:cs="Times New Roman"/>
                      <w:sz w:val="20"/>
                      <w:szCs w:val="20"/>
                    </w:rPr>
                    <w:br/>
                    <w:t xml:space="preserve">2.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2" w:anchor="2288161" w:history="1">
                    <w:r w:rsidRPr="0005639F">
                      <w:rPr>
                        <w:rFonts w:ascii="Times New Roman" w:eastAsia="Times New Roman" w:hAnsi="Times New Roman" w:cs="Times New Roman"/>
                        <w:color w:val="0000FF"/>
                        <w:sz w:val="20"/>
                        <w:szCs w:val="20"/>
                        <w:u w:val="single"/>
                      </w:rPr>
                      <w:t>Crowded Aromatic Architectures from Silyl Acetylenes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 rapid approach to prepare congested aromatic systems is demonstrated based on the benzannulation of silyl-protected arylacetylenes. Benzannulation of these substrates is unreported, in part because typical reaction conditions induce partial or complete protodesilylation of the naphthalene products. We show that silyl groups are retained under modified reaction conditions that employ reduced acid concentration for a variety of silyl containing acetylenes. Aryl silyl ethers are versatile functional groups that we transformed into aryl iodides to enable further elaboration through transition-metal catalyzed cross-coupling reactions. The desirable attributes of this strategy, particularly the remarkable tolerance of the benzannulation reaction for sterically hindered alkynes, are showcased in the efficient synthesis of a branched oligo(naphthalene), which exhibits hindered rotation about its aryl-aryl linkages even at 140 °C. As such, benzannulations of both diaryl and silyl-protected acetylenes show outstanding promise for constructing new aromatic systems.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2290319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Amy R. Howell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Univ of Connecticut, Storrs Mansfield,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3" w:anchor="2290319" w:history="1">
                    <w:r w:rsidRPr="0005639F">
                      <w:rPr>
                        <w:rFonts w:ascii="Times New Roman" w:eastAsia="Times New Roman" w:hAnsi="Times New Roman" w:cs="Times New Roman"/>
                        <w:color w:val="0000FF"/>
                        <w:sz w:val="20"/>
                        <w:szCs w:val="20"/>
                        <w:u w:val="single"/>
                      </w:rPr>
                      <w:t>Unexpected Reactivities of Unusual Oxetanes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An unexpected reaction outcome can sometimes lead to new entry points for useful molecular systems. Two initially puzzling results, one involving an oxetane derived from a dioxapsirohexane system like </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xml:space="preserve"> and another from oxaspirohexanes </w:t>
                  </w:r>
                  <w:r w:rsidRPr="0005639F">
                    <w:rPr>
                      <w:rFonts w:ascii="Times New Roman" w:eastAsia="Times New Roman" w:hAnsi="Times New Roman" w:cs="Times New Roman"/>
                      <w:b/>
                      <w:bCs/>
                      <w:sz w:val="20"/>
                      <w:szCs w:val="20"/>
                    </w:rPr>
                    <w:t>2</w:t>
                  </w:r>
                  <w:r w:rsidRPr="0005639F">
                    <w:rPr>
                      <w:rFonts w:ascii="Times New Roman" w:eastAsia="Times New Roman" w:hAnsi="Times New Roman" w:cs="Times New Roman"/>
                      <w:sz w:val="20"/>
                      <w:szCs w:val="20"/>
                    </w:rPr>
                    <w:t>, illustrate the utility of strained systems in reaction discovery. Studies to decipher, understand and exploit the unexpected rearrangements will be described.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2290832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Yu Chen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Biochemistry, Queens College and the Graduate Center, City University of New York, Flushing,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4" w:anchor="2290832" w:history="1">
                    <w:r w:rsidRPr="0005639F">
                      <w:rPr>
                        <w:rFonts w:ascii="Times New Roman" w:eastAsia="Times New Roman" w:hAnsi="Times New Roman" w:cs="Times New Roman"/>
                        <w:color w:val="0000FF"/>
                        <w:sz w:val="20"/>
                        <w:szCs w:val="20"/>
                        <w:u w:val="single"/>
                      </w:rPr>
                      <w:t>Tandem Palladium Catalysis: A Facile Synthesis of 2-Azafluorenones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 novel synthetic approach to 2-azafluorenones (</w:t>
                  </w:r>
                  <w:r w:rsidRPr="0005639F">
                    <w:rPr>
                      <w:rFonts w:ascii="Times New Roman" w:eastAsia="Times New Roman" w:hAnsi="Times New Roman" w:cs="Times New Roman"/>
                      <w:b/>
                      <w:bCs/>
                      <w:sz w:val="20"/>
                      <w:szCs w:val="20"/>
                    </w:rPr>
                    <w:t>4</w:t>
                  </w:r>
                  <w:r w:rsidRPr="0005639F">
                    <w:rPr>
                      <w:rFonts w:ascii="Times New Roman" w:eastAsia="Times New Roman" w:hAnsi="Times New Roman" w:cs="Times New Roman"/>
                      <w:sz w:val="20"/>
                      <w:szCs w:val="20"/>
                    </w:rPr>
                    <w:t xml:space="preserve">) has been developed. The protocol starts from either halogen-substituted 2-alkyn-1-one </w:t>
                  </w:r>
                  <w:r w:rsidRPr="0005639F">
                    <w:rPr>
                      <w:rFonts w:ascii="Times New Roman" w:eastAsia="Times New Roman" w:hAnsi="Times New Roman" w:cs="Times New Roman"/>
                      <w:i/>
                      <w:iCs/>
                      <w:sz w:val="20"/>
                      <w:szCs w:val="20"/>
                    </w:rPr>
                    <w:t>O</w:t>
                  </w:r>
                  <w:r w:rsidRPr="0005639F">
                    <w:rPr>
                      <w:rFonts w:ascii="Times New Roman" w:eastAsia="Times New Roman" w:hAnsi="Times New Roman" w:cs="Times New Roman"/>
                      <w:sz w:val="20"/>
                      <w:szCs w:val="20"/>
                    </w:rPr>
                    <w:t>-methyl oximes (</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or isoxazoles (</w:t>
                  </w:r>
                  <w:r w:rsidRPr="0005639F">
                    <w:rPr>
                      <w:rFonts w:ascii="Times New Roman" w:eastAsia="Times New Roman" w:hAnsi="Times New Roman" w:cs="Times New Roman"/>
                      <w:b/>
                      <w:bCs/>
                      <w:sz w:val="20"/>
                      <w:szCs w:val="20"/>
                    </w:rPr>
                    <w:t>2</w:t>
                  </w:r>
                  <w:r w:rsidRPr="0005639F">
                    <w:rPr>
                      <w:rFonts w:ascii="Times New Roman" w:eastAsia="Times New Roman" w:hAnsi="Times New Roman" w:cs="Times New Roman"/>
                      <w:sz w:val="20"/>
                      <w:szCs w:val="20"/>
                    </w:rPr>
                    <w:t>) and a Michael acceptor (</w:t>
                  </w:r>
                  <w:r w:rsidRPr="0005639F">
                    <w:rPr>
                      <w:rFonts w:ascii="Times New Roman" w:eastAsia="Times New Roman" w:hAnsi="Times New Roman" w:cs="Times New Roman"/>
                      <w:b/>
                      <w:bCs/>
                      <w:sz w:val="20"/>
                      <w:szCs w:val="20"/>
                    </w:rPr>
                    <w:t>3</w:t>
                  </w:r>
                  <w:r w:rsidRPr="0005639F">
                    <w:rPr>
                      <w:rFonts w:ascii="Times New Roman" w:eastAsia="Times New Roman" w:hAnsi="Times New Roman" w:cs="Times New Roman"/>
                      <w:sz w:val="20"/>
                      <w:szCs w:val="20"/>
                    </w:rPr>
                    <w:t>) by palladium catalyzed cyclization-Heck coupling-rearrangement-cyclization cascades. This cascade synthetic approach includes five reaction steps and three palladium-catalyzed mechanistically different catalytic cycles. 2-Azafluorenone derivatives were prepared in moderate to excellent chemical yields (40-94%) by the new approach. Details of the methodology development and reaction mechanism study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2291759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Phong K. Quach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Cheyenne Brindle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Trinity College, Hartford,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5" w:anchor="2291759" w:history="1">
                    <w:r w:rsidRPr="0005639F">
                      <w:rPr>
                        <w:rFonts w:ascii="Times New Roman" w:eastAsia="Times New Roman" w:hAnsi="Times New Roman" w:cs="Times New Roman"/>
                        <w:color w:val="0000FF"/>
                        <w:sz w:val="20"/>
                        <w:szCs w:val="20"/>
                        <w:u w:val="single"/>
                      </w:rPr>
                      <w:t>Synthesis of Turbomycin Analogues for the Development of New Antibiotics: Variation of the Indole Component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increased number of cases of antibiotic resistance coupled with the lack of new antibiotics necessitates the development of novel antibacterial agents. In 2004, turbomycin B was isolated from a soil microorganism and was found to have antibiotic properties, making it a promising candidate for a new antibacterial agent. Our research goal is to determine the structure-activity relationship of turbomycin B based on the consequences of structural alternations in the indole portion of the molecule on the biological activity. Thus far, we have synthesized N-methyl, N-tosyl, and N-acetyl derivative precursors. Moreover, we are optimizing the synthesis procedure for 5-carboxylic acid indole derivatives. Additionally, diluted solutions of different concentrations of the N-methyl, N-tosyl derivative precursors in DMSO and water were tested on </w:t>
                  </w:r>
                  <w:r w:rsidRPr="0005639F">
                    <w:rPr>
                      <w:rFonts w:ascii="Times New Roman" w:eastAsia="Times New Roman" w:hAnsi="Times New Roman" w:cs="Times New Roman"/>
                      <w:i/>
                      <w:iCs/>
                      <w:sz w:val="20"/>
                      <w:szCs w:val="20"/>
                    </w:rPr>
                    <w:t>B. subtilis</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 xml:space="preserve"> E. coli</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 xml:space="preserve"> S. aureus</w:t>
                  </w:r>
                  <w:r w:rsidRPr="0005639F">
                    <w:rPr>
                      <w:rFonts w:ascii="Times New Roman" w:eastAsia="Times New Roman" w:hAnsi="Times New Roman" w:cs="Times New Roman"/>
                      <w:sz w:val="20"/>
                      <w:szCs w:val="20"/>
                    </w:rPr>
                    <w:t>. In the future, we plan to test all analogues on different microorganisms and use the activities to guide our efforts in making a more active compound.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2291883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Catherine R. DeBlase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Kenneth Hernandez</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Katharine Silberstein</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Gabriel Rodriguez-Calero</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Ryan P. Bisbey</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Hector D. Abruna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Dichtel</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 Ithaca, NY, United States. </w:t>
                  </w:r>
                  <w:r w:rsidRPr="0005639F">
                    <w:rPr>
                      <w:rFonts w:ascii="Times New Roman" w:eastAsia="Times New Roman" w:hAnsi="Times New Roman" w:cs="Times New Roman"/>
                      <w:sz w:val="20"/>
                      <w:szCs w:val="20"/>
                    </w:rPr>
                    <w:br/>
                    <w:t xml:space="preserve">2. Chemistry and Chemical Biology, Cornell University, Ithaca, NY, United States. </w:t>
                  </w:r>
                  <w:r w:rsidRPr="0005639F">
                    <w:rPr>
                      <w:rFonts w:ascii="Times New Roman" w:eastAsia="Times New Roman" w:hAnsi="Times New Roman" w:cs="Times New Roman"/>
                      <w:sz w:val="20"/>
                      <w:szCs w:val="20"/>
                    </w:rPr>
                    <w:br/>
                    <w:t xml:space="preserve">3. Department of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6" w:anchor="2291883" w:history="1">
                    <w:r w:rsidRPr="0005639F">
                      <w:rPr>
                        <w:rFonts w:ascii="Times New Roman" w:eastAsia="Times New Roman" w:hAnsi="Times New Roman" w:cs="Times New Roman"/>
                        <w:b/>
                        <w:bCs/>
                        <w:color w:val="0000FF"/>
                        <w:sz w:val="20"/>
                        <w:szCs w:val="20"/>
                        <w:u w:val="single"/>
                      </w:rPr>
                      <w:t>Redox-Active Covalent Organic Framework Thin Films for Efficient Energy Storage</w:t>
                    </w:r>
                    <w:r w:rsidRPr="0005639F">
                      <w:rPr>
                        <w:rFonts w:ascii="Times New Roman" w:eastAsia="Times New Roman" w:hAnsi="Times New Roman" w:cs="Times New Roman"/>
                        <w:color w:val="0000FF"/>
                        <w:sz w:val="20"/>
                        <w:szCs w:val="20"/>
                        <w:u w:val="single"/>
                      </w:rPr>
                      <w:br/>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Two-dimensional covalent organic frameworks (2D COFs) are ideally suited for organizing redox-active subunits into periodic, permanently porous polymer networks of interest for pseudocapacitive energy storage. A method for synthesizing crystalline, oriented thin films of a redox-active 2D COF on Au working electrodes will be discussed. Control over the thickness of the COF film was accessed by varying the initial monomer concentration. A large percentage (80-99%) of the anthraquinone groups are electrochemically accessible in films thinner than 200 nm, an order-of-magnitude improvement over the same COF prepared as a randomly oriented microcrystalline powder. As a result, electrodes functionalized with oriented COF films exhibit a 400% increase in capacitance scaled to electrode area as compared to those functionalized with the randomly oriented COF powder. These results demonstrate the promise of redox-active COFs for electrical energy storage and highlight the importance of controlling morphology for optimal performance.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2292089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Brian J. Smith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Nicky Hwang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Anton D. Chavez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Dichtel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7" w:anchor="2292089" w:history="1">
                    <w:r w:rsidRPr="0005639F">
                      <w:rPr>
                        <w:rFonts w:ascii="Times New Roman" w:eastAsia="Times New Roman" w:hAnsi="Times New Roman" w:cs="Times New Roman"/>
                        <w:color w:val="0000FF"/>
                        <w:sz w:val="20"/>
                        <w:szCs w:val="20"/>
                        <w:u w:val="single"/>
                      </w:rPr>
                      <w:t>Self-Assembly kinetics and water stability of Covalent Organic Frameworks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Covalent Organic Frameworks (COFs) are multi-dimensional, highly porous crystalline networks with potential application in chemical separation, catalysis, and energy devices. Despite a design strategy where structure is self determined from the monomer geometry, little is known about COF nucleation and growth processes, resulting in poor control over crystal size and particle morphology. We recently identified conditions for preparing 2D layered COFs from initially homogenous solutions, allowing the first detailed rate analysis and showing that COF formation occurs within minutes. With optical turbidity measurements, we characterize how monomer identity, competitive inhibitors, and reaction conditions affect framework assembly kinetics. We find the rate-determining step in boronate ester 2D COF growth is not polymerization but rather interlayer polymer stacking. Moreover, the hydrolytic stability correlates with monomer identity and interlayer attractive forces, </w:t>
                  </w:r>
                  <w:r w:rsidRPr="0005639F">
                    <w:rPr>
                      <w:rFonts w:ascii="Times New Roman" w:eastAsia="Times New Roman" w:hAnsi="Times New Roman" w:cs="Times New Roman"/>
                      <w:sz w:val="20"/>
                      <w:szCs w:val="20"/>
                    </w:rPr>
                    <w:lastRenderedPageBreak/>
                    <w:t>demonstrating a 200-fold range in network stability. These insights, correlated with soluble analogue studies, establish structure-property relationships to direct the rational design of next generation COF materials.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2292124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Ben Merritt</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Thomas J. Thomas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Betsegaw Lemma</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Adina McKoy</w:t>
                  </w:r>
                  <w:r w:rsidRPr="0005639F">
                    <w:rPr>
                      <w:rFonts w:ascii="Times New Roman" w:eastAsia="Times New Roman" w:hAnsi="Times New Roman" w:cs="Times New Roman"/>
                      <w:sz w:val="20"/>
                      <w:szCs w:val="20"/>
                      <w:vertAlign w:val="superscript"/>
                    </w:rPr>
                    <w:t>5</w:t>
                  </w:r>
                  <w:r w:rsidRPr="0005639F">
                    <w:rPr>
                      <w:rFonts w:ascii="Times New Roman" w:eastAsia="Times New Roman" w:hAnsi="Times New Roman" w:cs="Times New Roman"/>
                      <w:sz w:val="20"/>
                      <w:szCs w:val="20"/>
                    </w:rPr>
                    <w:t>, Tri Nguyen</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Andrew K. Swenson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Jeffrey L. Mills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Michael G. Coleman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School of Chemistry and Materials Science, Rochester Institute of Technology, Rochester, NY, United States. </w:t>
                  </w:r>
                  <w:r w:rsidRPr="0005639F">
                    <w:rPr>
                      <w:rFonts w:ascii="Times New Roman" w:eastAsia="Times New Roman" w:hAnsi="Times New Roman" w:cs="Times New Roman"/>
                      <w:sz w:val="20"/>
                      <w:szCs w:val="20"/>
                    </w:rPr>
                    <w:br/>
                    <w:t xml:space="preserve">2. School of Chemistry and Materials Science, Rochester Institute of Technology, Rochester, NY, United States. </w:t>
                  </w:r>
                  <w:r w:rsidRPr="0005639F">
                    <w:rPr>
                      <w:rFonts w:ascii="Times New Roman" w:eastAsia="Times New Roman" w:hAnsi="Times New Roman" w:cs="Times New Roman"/>
                      <w:sz w:val="20"/>
                      <w:szCs w:val="20"/>
                    </w:rPr>
                    <w:br/>
                    <w:t xml:space="preserve">3. School of Chemistry and Materials Science, Rochester Institute of Technology, Rochester, NY, United States. </w:t>
                  </w:r>
                  <w:r w:rsidRPr="0005639F">
                    <w:rPr>
                      <w:rFonts w:ascii="Times New Roman" w:eastAsia="Times New Roman" w:hAnsi="Times New Roman" w:cs="Times New Roman"/>
                      <w:sz w:val="20"/>
                      <w:szCs w:val="20"/>
                    </w:rPr>
                    <w:br/>
                    <w:t xml:space="preserve">4. School of Chemistry and Materials Science, Rochester Institute of Technology, Rochester, NY, United States. </w:t>
                  </w:r>
                  <w:r w:rsidRPr="0005639F">
                    <w:rPr>
                      <w:rFonts w:ascii="Times New Roman" w:eastAsia="Times New Roman" w:hAnsi="Times New Roman" w:cs="Times New Roman"/>
                      <w:sz w:val="20"/>
                      <w:szCs w:val="20"/>
                    </w:rPr>
                    <w:br/>
                    <w:t xml:space="preserve">5. School of Chemistry and Materials Science, Rochester Institute of Technology,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8" w:anchor="2292124" w:history="1">
                    <w:r w:rsidRPr="0005639F">
                      <w:rPr>
                        <w:rFonts w:ascii="Times New Roman" w:eastAsia="Times New Roman" w:hAnsi="Times New Roman" w:cs="Times New Roman"/>
                        <w:color w:val="0000FF"/>
                        <w:sz w:val="20"/>
                        <w:szCs w:val="20"/>
                        <w:u w:val="single"/>
                      </w:rPr>
                      <w:t>Transition Metal-Catalyzed Cycloaddition Reactions of Internal Alkynylsilanes and Diazoacetate Compound</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1-Silylcyclopropenes are an important class of highly strained molecules that are capable of undergoing a wide range of organic transformations. The transition metal-catalyzed cyclopropenation of alkynylsilanes and diazoacetates is the most direct and general approach for their synthesis. However, this strategy is fraught with consistently low yields and only a few examples are reported in the literature. In this context, an overview of the recent discoveries developed in our laboratory will be presented.</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4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2292340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Mohammad Nozari</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Anthony W. Addison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Matthias Zeller</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Jaber Jahanbin sardroudi</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Sadegh Afshari</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Noah Johnson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Drexel University, Philadelphia, PA, United States. </w:t>
                  </w:r>
                  <w:r w:rsidRPr="0005639F">
                    <w:rPr>
                      <w:rFonts w:ascii="Times New Roman" w:eastAsia="Times New Roman" w:hAnsi="Times New Roman" w:cs="Times New Roman"/>
                      <w:sz w:val="20"/>
                      <w:szCs w:val="20"/>
                    </w:rPr>
                    <w:br/>
                    <w:t xml:space="preserve">2. Chem Dept, Disque Hall - 402, Drexel University, Philadelphia, PA, United States. </w:t>
                  </w:r>
                  <w:r w:rsidRPr="0005639F">
                    <w:rPr>
                      <w:rFonts w:ascii="Times New Roman" w:eastAsia="Times New Roman" w:hAnsi="Times New Roman" w:cs="Times New Roman"/>
                      <w:sz w:val="20"/>
                      <w:szCs w:val="20"/>
                    </w:rPr>
                    <w:br/>
                    <w:t xml:space="preserve">3. Youngstown State University, Youngstown, OH, United States. </w:t>
                  </w:r>
                  <w:r w:rsidRPr="0005639F">
                    <w:rPr>
                      <w:rFonts w:ascii="Times New Roman" w:eastAsia="Times New Roman" w:hAnsi="Times New Roman" w:cs="Times New Roman"/>
                      <w:sz w:val="20"/>
                      <w:szCs w:val="20"/>
                    </w:rPr>
                    <w:br/>
                    <w:t xml:space="preserve">4. Azarbaijan University of Shahid Madani , Tabriz, Iran (the Islamic Republic of).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79" w:anchor="2292340" w:history="1">
                    <w:r w:rsidRPr="0005639F">
                      <w:rPr>
                        <w:rFonts w:ascii="Times New Roman" w:eastAsia="Times New Roman" w:hAnsi="Times New Roman" w:cs="Times New Roman"/>
                        <w:b/>
                        <w:bCs/>
                        <w:color w:val="0000FF"/>
                        <w:sz w:val="20"/>
                        <w:szCs w:val="20"/>
                        <w:u w:val="single"/>
                      </w:rPr>
                      <w:t>Synthesis, spectroscopic characterization, X-ray structure and DFT studies on 2,6-bis(</w:t>
                    </w:r>
                    <w:r w:rsidRPr="0005639F">
                      <w:rPr>
                        <w:rFonts w:ascii="Times New Roman" w:eastAsia="Times New Roman" w:hAnsi="Times New Roman" w:cs="Times New Roman"/>
                        <w:b/>
                        <w:bCs/>
                        <w:i/>
                        <w:iCs/>
                        <w:color w:val="0000FF"/>
                        <w:sz w:val="20"/>
                        <w:szCs w:val="20"/>
                        <w:u w:val="single"/>
                      </w:rPr>
                      <w:t>N'</w:t>
                    </w:r>
                    <w:r w:rsidRPr="0005639F">
                      <w:rPr>
                        <w:rFonts w:ascii="Times New Roman" w:eastAsia="Times New Roman" w:hAnsi="Times New Roman" w:cs="Times New Roman"/>
                        <w:b/>
                        <w:bCs/>
                        <w:color w:val="0000FF"/>
                        <w:sz w:val="20"/>
                        <w:szCs w:val="20"/>
                        <w:u w:val="single"/>
                      </w:rPr>
                      <w:t>-[9”-anthracylmethyl]benzimidazol-2'-yl)pyridine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r>
                  <w:r w:rsidRPr="0005639F">
                    <w:rPr>
                      <w:rFonts w:ascii="Times New Roman" w:eastAsia="Times New Roman" w:hAnsi="Times New Roman" w:cs="Times New Roman"/>
                      <w:b/>
                      <w:bCs/>
                      <w:sz w:val="20"/>
                      <w:szCs w:val="20"/>
                    </w:rPr>
                    <w:lastRenderedPageBreak/>
                    <w:t xml:space="preserve">Abstract: </w:t>
                  </w:r>
                  <w:r w:rsidRPr="0005639F">
                    <w:rPr>
                      <w:rFonts w:ascii="Times New Roman" w:eastAsia="Times New Roman" w:hAnsi="Times New Roman" w:cs="Times New Roman"/>
                      <w:sz w:val="20"/>
                      <w:szCs w:val="20"/>
                    </w:rPr>
                    <w:t xml:space="preserve">One of the biggest challenges people are facing nowadays is energy. Solar power while being an abundant and renewable resource is not efficiently utilized due to expensive or inefficient light harvesting techniques. Dye-sensitized solar cells are among possible solutions for this problem. UV, visible-region, and near-infrared absorbing molecules have potential for use in dye-sensitized solar cells and synthesizing them involves making derivatives of nitrogen-heterocyclic ligands. We have developed a simple two step method for </w:t>
                  </w:r>
                  <w:r w:rsidRPr="0005639F">
                    <w:rPr>
                      <w:rFonts w:ascii="Times New Roman" w:eastAsia="Times New Roman" w:hAnsi="Times New Roman" w:cs="Times New Roman"/>
                      <w:i/>
                      <w:iCs/>
                      <w:sz w:val="20"/>
                      <w:szCs w:val="20"/>
                    </w:rPr>
                    <w:t>N</w:t>
                  </w:r>
                  <w:r w:rsidRPr="0005639F">
                    <w:rPr>
                      <w:rFonts w:ascii="Times New Roman" w:eastAsia="Times New Roman" w:hAnsi="Times New Roman" w:cs="Times New Roman"/>
                      <w:sz w:val="20"/>
                      <w:szCs w:val="20"/>
                    </w:rPr>
                    <w:t>-alkylation of these molecules and ligand 2,6-bis(</w:t>
                  </w:r>
                  <w:r w:rsidRPr="0005639F">
                    <w:rPr>
                      <w:rFonts w:ascii="Times New Roman" w:eastAsia="Times New Roman" w:hAnsi="Times New Roman" w:cs="Times New Roman"/>
                      <w:i/>
                      <w:iCs/>
                      <w:sz w:val="20"/>
                      <w:szCs w:val="20"/>
                    </w:rPr>
                    <w:t>N'</w:t>
                  </w:r>
                  <w:r w:rsidRPr="0005639F">
                    <w:rPr>
                      <w:rFonts w:ascii="Times New Roman" w:eastAsia="Times New Roman" w:hAnsi="Times New Roman" w:cs="Times New Roman"/>
                      <w:sz w:val="20"/>
                      <w:szCs w:val="20"/>
                    </w:rPr>
                    <w:t>-[9”-anthracylmethyl]benzimidazol-2'-yl)pyridine has been synthesized and characterized by elemental analysis, FT-IR spectroscopy, single-crystal X-ray diffraction. In addition vibrational frequencies of the title compound have been calculated using the density functional theory and compared with the experimental data. Frontier molecular orbitals (FMO) of the title compound have been investigated by theoretical calculations.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2223197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Brian Duffy</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John D. Chisholm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University, Syracuse, NY, United States. </w:t>
                  </w:r>
                  <w:r w:rsidRPr="0005639F">
                    <w:rPr>
                      <w:rFonts w:ascii="Times New Roman" w:eastAsia="Times New Roman" w:hAnsi="Times New Roman" w:cs="Times New Roman"/>
                      <w:sz w:val="20"/>
                      <w:szCs w:val="20"/>
                    </w:rPr>
                    <w:br/>
                    <w:t xml:space="preserve">2.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0" w:anchor="2223197" w:history="1">
                    <w:r w:rsidRPr="0005639F">
                      <w:rPr>
                        <w:rFonts w:ascii="Times New Roman" w:eastAsia="Times New Roman" w:hAnsi="Times New Roman" w:cs="Times New Roman"/>
                        <w:color w:val="0000FF"/>
                        <w:sz w:val="20"/>
                        <w:szCs w:val="20"/>
                        <w:u w:val="single"/>
                      </w:rPr>
                      <w:t>Synthetic Studies on Small-Molecule SHIP1 Agonists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SH2-containing inositol 5'-phosphatase SHIP1 plays an important role in modulating cellular signaling that occurs through the PI3K axis. SHIP1 agonists are currently under investigation for a number of disease states, particularly allergic inflammation and cancer. Synthetic studies leading towards an efficient and concise total synthesis of SHIP1 agonists will be described.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r w:rsidRPr="0005639F">
                    <w:rPr>
                      <w:rFonts w:ascii="Times New Roman" w:eastAsia="Times New Roman" w:hAnsi="Times New Roman" w:cs="Times New Roman"/>
                      <w:sz w:val="20"/>
                      <w:szCs w:val="20"/>
                    </w:rPr>
                    <w:t>Accept</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2228819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Charles E. Jakobsche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Linshu Wang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Blaine G. McCarthy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Nicholas S. MacArthur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Dept, Clark University, Worcester,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1" w:anchor="2228819" w:history="1">
                    <w:r w:rsidRPr="0005639F">
                      <w:rPr>
                        <w:rFonts w:ascii="Times New Roman" w:eastAsia="Times New Roman" w:hAnsi="Times New Roman" w:cs="Times New Roman"/>
                        <w:color w:val="0000FF"/>
                        <w:sz w:val="20"/>
                        <w:szCs w:val="20"/>
                        <w:u w:val="single"/>
                      </w:rPr>
                      <w:t>Converting primary amines into alcohols via N-nitrosodichloroacetamides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N-Nitrosoacetamides undergo thermal rearrangements into acetates, and the relative ease and efficiency of these transformations is affected by the chemical nature of the acetamide. Following a detailed comparison of various acetamide structures we have identified dichloroacetamides as optimal substrates for this rearrangement sequence, which can be used to easily convert primary amines into alcohols through a 4-step, 1-purification </w:t>
                  </w:r>
                  <w:r w:rsidRPr="0005639F">
                    <w:rPr>
                      <w:rFonts w:ascii="Times New Roman" w:eastAsia="Times New Roman" w:hAnsi="Times New Roman" w:cs="Times New Roman"/>
                      <w:sz w:val="20"/>
                      <w:szCs w:val="20"/>
                    </w:rPr>
                    <w:lastRenderedPageBreak/>
                    <w:t>sequence. After evaluating the substrate scope on simple amine substrates, we are currently applying this methodology to the synthesis of higher complexity chemical structures with biological relevance.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2285745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Stephen P. Fearnley</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Charnsak Thongsornkleeb</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Maciej E. Domaradzki</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Robert C. Lapo</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Pedro M. Lory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CUNY-York College, Jamaica, NY, United States. </w:t>
                  </w:r>
                  <w:r w:rsidRPr="0005639F">
                    <w:rPr>
                      <w:rFonts w:ascii="Times New Roman" w:eastAsia="Times New Roman" w:hAnsi="Times New Roman" w:cs="Times New Roman"/>
                      <w:sz w:val="20"/>
                      <w:szCs w:val="20"/>
                    </w:rPr>
                    <w:br/>
                    <w:t xml:space="preserve">2. Ph.D. Program in Chemistry, The Graduate Center of the City University of New York,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2" w:anchor="2285745" w:history="1">
                    <w:r w:rsidRPr="0005639F">
                      <w:rPr>
                        <w:rFonts w:ascii="Times New Roman" w:eastAsia="Times New Roman" w:hAnsi="Times New Roman" w:cs="Times New Roman"/>
                        <w:color w:val="0000FF"/>
                        <w:sz w:val="20"/>
                        <w:szCs w:val="20"/>
                        <w:u w:val="single"/>
                      </w:rPr>
                      <w:t>Novel heterocyclic methodology for natural products synthesis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Our group's research focuses on the development of new heterocyclic methodology for the synthesis of bioactive natural products. Specific efforts include:</w:t>
                  </w:r>
                  <w:r w:rsidRPr="0005639F">
                    <w:rPr>
                      <w:rFonts w:ascii="Times New Roman" w:eastAsia="Times New Roman" w:hAnsi="Times New Roman" w:cs="Times New Roman"/>
                      <w:sz w:val="20"/>
                      <w:szCs w:val="20"/>
                    </w:rPr>
                    <w:br/>
                    <w:t>• Investigation and use of oxazolone as a useful heterocyclic scaffold for alkaloid synthesis – chiefly, intramolecular Diels-Alder reactions with oxazolone as the dienophilic species. Application in the synthesis of several alkaloid targets is currently underway.</w:t>
                  </w:r>
                  <w:r w:rsidRPr="0005639F">
                    <w:rPr>
                      <w:rFonts w:ascii="Times New Roman" w:eastAsia="Times New Roman" w:hAnsi="Times New Roman" w:cs="Times New Roman"/>
                      <w:sz w:val="20"/>
                      <w:szCs w:val="20"/>
                    </w:rPr>
                    <w:br/>
                    <w:t>• Novel organosilane chemistry for approaches to bioactive ether targets – a rapid synthesis of cis-fused bicyclic ether arrays in which oxocarbeniums undergo nucleophilic attack by vinylsilanes via a novel intramolecular annulation process. A wide variety of ether natural product motifs are thus accessible.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2287981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Nazli Boke Sarikahya</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Peyker Kayce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Suheyla Kirmizigul</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Fehmi Damkaci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Oswego, Oswego, NY, United States. </w:t>
                  </w:r>
                  <w:r w:rsidRPr="0005639F">
                    <w:rPr>
                      <w:rFonts w:ascii="Times New Roman" w:eastAsia="Times New Roman" w:hAnsi="Times New Roman" w:cs="Times New Roman"/>
                      <w:sz w:val="20"/>
                      <w:szCs w:val="20"/>
                    </w:rPr>
                    <w:br/>
                    <w:t xml:space="preserve">2. Chemistry, Ege University, Izmir, Turkey.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3" w:anchor="2287981" w:history="1">
                    <w:r w:rsidRPr="0005639F">
                      <w:rPr>
                        <w:rFonts w:ascii="Times New Roman" w:eastAsia="Times New Roman" w:hAnsi="Times New Roman" w:cs="Times New Roman"/>
                        <w:b/>
                        <w:bCs/>
                        <w:color w:val="0000FF"/>
                        <w:sz w:val="20"/>
                        <w:szCs w:val="20"/>
                        <w:u w:val="single"/>
                      </w:rPr>
                      <w:t xml:space="preserve">The Synthesis of New Hydrozone Derivatives from Natural Product Loganin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Loganin is a iridoid type glycoside isolated from </w:t>
                  </w:r>
                  <w:r w:rsidRPr="0005639F">
                    <w:rPr>
                      <w:rFonts w:ascii="Times New Roman" w:eastAsia="Times New Roman" w:hAnsi="Times New Roman" w:cs="Times New Roman"/>
                      <w:i/>
                      <w:iCs/>
                      <w:sz w:val="20"/>
                      <w:szCs w:val="20"/>
                    </w:rPr>
                    <w:t>Guettarda platypoda</w:t>
                  </w:r>
                  <w:r w:rsidRPr="0005639F">
                    <w:rPr>
                      <w:rFonts w:ascii="Times New Roman" w:eastAsia="Times New Roman" w:hAnsi="Times New Roman" w:cs="Times New Roman"/>
                      <w:sz w:val="20"/>
                      <w:szCs w:val="20"/>
                    </w:rPr>
                    <w:t xml:space="preserve"> in 1988. It has been found many medicinal activities such as antibacterial, antioxidant, neuro-protective, insecticidal, anticancer, and various effects. The hydrazone derivatives are also important class of organic molecules. In the literature, they are subject to many different works mostly due to the fact biologically activities.</w:t>
                  </w:r>
                  <w:r w:rsidRPr="0005639F">
                    <w:rPr>
                      <w:rFonts w:ascii="Times New Roman" w:eastAsia="Times New Roman" w:hAnsi="Times New Roman" w:cs="Times New Roman"/>
                      <w:sz w:val="20"/>
                      <w:szCs w:val="20"/>
                    </w:rPr>
                    <w:br/>
                    <w:t xml:space="preserve">Our main goal of this study is to investigate and expand the usage areas of loganin by increasing the activity. Thus </w:t>
                  </w:r>
                  <w:r w:rsidRPr="0005639F">
                    <w:rPr>
                      <w:rFonts w:ascii="Times New Roman" w:eastAsia="Times New Roman" w:hAnsi="Times New Roman" w:cs="Times New Roman"/>
                      <w:sz w:val="20"/>
                      <w:szCs w:val="20"/>
                    </w:rPr>
                    <w:lastRenderedPageBreak/>
                    <w:t xml:space="preserve">we want to synthesis of further active compounds and new hydrazone type derivatives from natural product loganin, which was isolated from different </w:t>
                  </w:r>
                  <w:r w:rsidRPr="0005639F">
                    <w:rPr>
                      <w:rFonts w:ascii="Times New Roman" w:eastAsia="Times New Roman" w:hAnsi="Times New Roman" w:cs="Times New Roman"/>
                      <w:i/>
                      <w:iCs/>
                      <w:sz w:val="20"/>
                      <w:szCs w:val="20"/>
                    </w:rPr>
                    <w:t xml:space="preserve">Cephalaria </w:t>
                  </w:r>
                  <w:r w:rsidRPr="0005639F">
                    <w:rPr>
                      <w:rFonts w:ascii="Times New Roman" w:eastAsia="Times New Roman" w:hAnsi="Times New Roman" w:cs="Times New Roman"/>
                      <w:sz w:val="20"/>
                      <w:szCs w:val="20"/>
                    </w:rPr>
                    <w:t>species. After the isolation procedures, firstly we did hydrazinolysis of loganin afforded the corresponding hydrazide. Then condensation of hydrazide with different types of aromatic aldehydes gave new hydrazone-​type derivatives. The structural analyses of products were carried out using NMR, IR, Mass and elemental analysis. We will also evaluate the several activities of loganin and its potential hydrazone-type analogs. So we will be able to clarify the structure-activity relationship.</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2287990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Fehmi Damkaci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Abdulkhaliq Alawaed</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Oswego, Oswego,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4" w:anchor="2287990" w:history="1">
                    <w:r w:rsidRPr="0005639F">
                      <w:rPr>
                        <w:rFonts w:ascii="Times New Roman" w:eastAsia="Times New Roman" w:hAnsi="Times New Roman" w:cs="Times New Roman"/>
                        <w:color w:val="0000FF"/>
                        <w:sz w:val="20"/>
                        <w:szCs w:val="20"/>
                        <w:u w:val="single"/>
                      </w:rPr>
                      <w:t>N-Phenylpicolinicamide as Ligand for aryl-aryl C-N bond Formation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rediscovery of the Ulmann reaction using ligands has led to it becoming a central method of aryl-aryl C-C coupling, diaryl amine C-N formation, and diaryl ester C-O formation. The important applications of Ullmann coupling are the synthesis of polyaromatics for use as organic conductors or semiconductors possessing original physical properties and the synthesis of efficient and selective chiral biaryl ligands for asymmetric catalysis. In our previous work, we showed that </w:t>
                  </w:r>
                  <w:r w:rsidRPr="0005639F">
                    <w:rPr>
                      <w:rFonts w:ascii="Times New Roman" w:eastAsia="Times New Roman" w:hAnsi="Times New Roman" w:cs="Times New Roman"/>
                      <w:i/>
                      <w:iCs/>
                      <w:sz w:val="20"/>
                      <w:szCs w:val="20"/>
                    </w:rPr>
                    <w:t>N</w:t>
                  </w:r>
                  <w:r w:rsidRPr="0005639F">
                    <w:rPr>
                      <w:rFonts w:ascii="Times New Roman" w:eastAsia="Times New Roman" w:hAnsi="Times New Roman" w:cs="Times New Roman"/>
                      <w:sz w:val="20"/>
                      <w:szCs w:val="20"/>
                    </w:rPr>
                    <w:t xml:space="preserve">-phenylpicolinic amide acts as a ligand to achieve Ullmann type aryl-aryl homocoupling of aryl iodides and bromides at room temperature in high yields. Here, we would like to report the results of couplings of amines (aromatic or heterocyclic) with various aryl halides in the presence of our ligands. The coupling works best in MeCN as solvent at 80 </w:t>
                  </w:r>
                  <w:r w:rsidRPr="0005639F">
                    <w:rPr>
                      <w:rFonts w:ascii="Times New Roman" w:eastAsia="Times New Roman" w:hAnsi="Times New Roman" w:cs="Times New Roman"/>
                      <w:sz w:val="20"/>
                      <w:szCs w:val="20"/>
                      <w:vertAlign w:val="superscript"/>
                    </w:rPr>
                    <w:t>o</w:t>
                  </w:r>
                  <w:r w:rsidRPr="0005639F">
                    <w:rPr>
                      <w:rFonts w:ascii="Times New Roman" w:eastAsia="Times New Roman" w:hAnsi="Times New Roman" w:cs="Times New Roman"/>
                      <w:sz w:val="20"/>
                      <w:szCs w:val="20"/>
                    </w:rPr>
                    <w:t xml:space="preserve">C. Coupling reaction provides very low yield when performed using only picolinic acid compared to </w:t>
                  </w:r>
                  <w:r w:rsidRPr="0005639F">
                    <w:rPr>
                      <w:rFonts w:ascii="Times New Roman" w:eastAsia="Times New Roman" w:hAnsi="Times New Roman" w:cs="Times New Roman"/>
                      <w:i/>
                      <w:iCs/>
                      <w:sz w:val="20"/>
                      <w:szCs w:val="20"/>
                    </w:rPr>
                    <w:t>N</w:t>
                  </w:r>
                  <w:r w:rsidRPr="0005639F">
                    <w:rPr>
                      <w:rFonts w:ascii="Times New Roman" w:eastAsia="Times New Roman" w:hAnsi="Times New Roman" w:cs="Times New Roman"/>
                      <w:sz w:val="20"/>
                      <w:szCs w:val="20"/>
                    </w:rPr>
                    <w:t>-phenylpicolonic amide. The results of various aryl halides and pyrole, imidazole, and pyrazole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2289569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Holly Guevara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Arthur Greenberg</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of New Hampshire, Durham, NH, United States. </w:t>
                  </w:r>
                  <w:r w:rsidRPr="0005639F">
                    <w:rPr>
                      <w:rFonts w:ascii="Times New Roman" w:eastAsia="Times New Roman" w:hAnsi="Times New Roman" w:cs="Times New Roman"/>
                      <w:sz w:val="20"/>
                      <w:szCs w:val="20"/>
                    </w:rPr>
                    <w:br/>
                    <w:t xml:space="preserve">2. Chemistry, University of New Hampshire, Dover, NH,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5" w:anchor="2289569" w:history="1">
                    <w:r w:rsidRPr="0005639F">
                      <w:rPr>
                        <w:rFonts w:ascii="Times New Roman" w:eastAsia="Times New Roman" w:hAnsi="Times New Roman" w:cs="Times New Roman"/>
                        <w:b/>
                        <w:bCs/>
                        <w:color w:val="0000FF"/>
                        <w:sz w:val="20"/>
                        <w:szCs w:val="20"/>
                        <w:u w:val="single"/>
                      </w:rPr>
                      <w:t>Investigating the Ring-Opening Mechanism of Benzene Metabolism using Model Oxepins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Benzene is an environmental pollutant and known carcinogen. It is used in petroleum and plastic production and humans are exposed via contaminated air and water. Benzene is metabolized in the liver by cytochrome P450 to form benzene oxide, an intermediate that rearranges to phenol. Most benzene metabolites are </w:t>
                  </w:r>
                  <w:r w:rsidRPr="0005639F">
                    <w:rPr>
                      <w:rFonts w:ascii="Times New Roman" w:eastAsia="Times New Roman" w:hAnsi="Times New Roman" w:cs="Times New Roman"/>
                      <w:sz w:val="20"/>
                      <w:szCs w:val="20"/>
                    </w:rPr>
                    <w:lastRenderedPageBreak/>
                    <w:t>derived from phenol. While much of the metabolic pathway is well understood, the mechanism by which the ring-opened metabolite E,E-muconic acid forms is still uncertain. It is likely derived from the oxidation of oxepin, the valence tautomer of benzene oxide. To investigate this pathway, 4,5-benzoxepin has been synthesized as a model oxepin. Reactions with dimethyldioxirane and cerium (IV) ammonium nitrate (CAN) have been carried out and orthogonal products obtained. The reaction with dimethyldioxirane proceeds through the 2,8-dioxabicyclo[5.1.0]octa-3,5-diene &lt;span style="line-height:20.7999992370605px"&gt;intermediate&lt;/span&gt;, or "2,3-epoxyoxepin", and forms 4</w:t>
                  </w:r>
                  <w:r w:rsidRPr="0005639F">
                    <w:rPr>
                      <w:rFonts w:ascii="Times New Roman" w:eastAsia="Times New Roman" w:hAnsi="Times New Roman" w:cs="Times New Roman"/>
                      <w:i/>
                      <w:iCs/>
                      <w:sz w:val="20"/>
                      <w:szCs w:val="20"/>
                    </w:rPr>
                    <w:t>H</w:t>
                  </w:r>
                  <w:r w:rsidRPr="0005639F">
                    <w:rPr>
                      <w:rFonts w:ascii="Times New Roman" w:eastAsia="Times New Roman" w:hAnsi="Times New Roman" w:cs="Times New Roman"/>
                      <w:sz w:val="20"/>
                      <w:szCs w:val="20"/>
                    </w:rPr>
                    <w:t>-pyran-4-carbaldehyde. The CAN reaction yields a different product. Benzoxepin has also been incubated with recombinant cytochrome P450 isoforms (1A2 and 2E1) to elucidate the biologically relevant mechanism at work in humans.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2289789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Kevin P. Schultz</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Scott Sibley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Ryan Bram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Marie McConville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Jiwon Park</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Goucher Colg, Baltimore, MD, United States. </w:t>
                  </w:r>
                  <w:r w:rsidRPr="0005639F">
                    <w:rPr>
                      <w:rFonts w:ascii="Times New Roman" w:eastAsia="Times New Roman" w:hAnsi="Times New Roman" w:cs="Times New Roman"/>
                      <w:sz w:val="20"/>
                      <w:szCs w:val="20"/>
                    </w:rPr>
                    <w:br/>
                    <w:t xml:space="preserve">2. Hoffberger Science 236, Goucher College, Baltimore, MD, United States. </w:t>
                  </w:r>
                  <w:r w:rsidRPr="0005639F">
                    <w:rPr>
                      <w:rFonts w:ascii="Times New Roman" w:eastAsia="Times New Roman" w:hAnsi="Times New Roman" w:cs="Times New Roman"/>
                      <w:sz w:val="20"/>
                      <w:szCs w:val="20"/>
                    </w:rPr>
                    <w:br/>
                    <w:t xml:space="preserve">3. Chemistry, Goucher College, Baltimore,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6" w:anchor="2289789" w:history="1">
                    <w:r w:rsidRPr="0005639F">
                      <w:rPr>
                        <w:rFonts w:ascii="Times New Roman" w:eastAsia="Times New Roman" w:hAnsi="Times New Roman" w:cs="Times New Roman"/>
                        <w:color w:val="0000FF"/>
                        <w:sz w:val="20"/>
                        <w:szCs w:val="20"/>
                        <w:u w:val="single"/>
                      </w:rPr>
                      <w:t>Solvent-dependent fluorescence of sterically hindered 2,3-disubstituted quinoxalines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 new class of sterically hindered 2,3-disubstituted quinoxaline-containing molecules have been synthesized that exhibit extremely solvent-dependent fluorescence. The behavior of the fluorescence is consistent with the formation of a twisted intramolecular charge transfer (TICT) state for this molecule in polar solvents. The photodegradation behavior of the molecule in various solvents has also been studied. Proper derivatization at the 6,7-quinoxaline positions allow for these molecules to be effective molecular probes. The effects of these substituents upon the fluorescence behavior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2289857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Daniel Wallach</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Dennis Viernes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John D. Chisholm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University, Roselle, NJ, United States. </w:t>
                  </w:r>
                  <w:r w:rsidRPr="0005639F">
                    <w:rPr>
                      <w:rFonts w:ascii="Times New Roman" w:eastAsia="Times New Roman" w:hAnsi="Times New Roman" w:cs="Times New Roman"/>
                      <w:sz w:val="20"/>
                      <w:szCs w:val="20"/>
                    </w:rPr>
                    <w:br/>
                    <w:t xml:space="preserve">2.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7" w:anchor="2289857" w:history="1">
                    <w:r w:rsidRPr="0005639F">
                      <w:rPr>
                        <w:rFonts w:ascii="Times New Roman" w:eastAsia="Times New Roman" w:hAnsi="Times New Roman" w:cs="Times New Roman"/>
                        <w:color w:val="0000FF"/>
                        <w:sz w:val="20"/>
                        <w:szCs w:val="20"/>
                        <w:u w:val="single"/>
                      </w:rPr>
                      <w:t>Synthesis of Diamine and Aminoalcohol Analogs of 3α-Aminocholestane as Inhibitors of SHIP1</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Phosphatidyl inositols serve a crucial role in signal transduction within the PI3K pathway, passing </w:t>
                  </w:r>
                  <w:r w:rsidRPr="0005639F">
                    <w:rPr>
                      <w:rFonts w:ascii="Times New Roman" w:eastAsia="Times New Roman" w:hAnsi="Times New Roman" w:cs="Times New Roman"/>
                      <w:sz w:val="20"/>
                      <w:szCs w:val="20"/>
                    </w:rPr>
                    <w:lastRenderedPageBreak/>
                    <w:t>signals through the cell membrane on the way to the nucleus. These signals may influence many processes, including cell migration, differentiation and proliferation. The SH2 containing inositol 5’-phosphatase SHIP1 plays a key role in the regulation of these phosphatidyl inositols. Recently, it has been shown that inhibition of SHIP1 leads to apoptosis in multiple myeloma cells, providing an impetus for the development of SHIP1 inhibitors. The aminosteroid 3α-aminocholestane (3AC) was found to be a selective inhibitor of the SHIP1 enzyme. Unfortunately, 3AC has poor water solubility that can limit the usefulness of the molecule in some settings. Synthetic studies on analogs of 3AC have been undertaken, with the synthesis of diamine and aminoalcohol analogs having been accomplished. The solubility properties and structure activity relationships within these structures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2290596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Yu Fan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Research and Development, Bristol-Myers Squibb, Highland Park,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8" w:anchor="2290596" w:history="1">
                    <w:r w:rsidRPr="0005639F">
                      <w:rPr>
                        <w:rFonts w:ascii="Times New Roman" w:eastAsia="Times New Roman" w:hAnsi="Times New Roman" w:cs="Times New Roman"/>
                        <w:b/>
                        <w:bCs/>
                        <w:color w:val="0000FF"/>
                        <w:sz w:val="20"/>
                        <w:szCs w:val="20"/>
                        <w:u w:val="single"/>
                      </w:rPr>
                      <w:t xml:space="preserve">A practical synthesis of all </w:t>
                    </w:r>
                    <w:r w:rsidRPr="0005639F">
                      <w:rPr>
                        <w:rFonts w:ascii="Times New Roman" w:eastAsia="Times New Roman" w:hAnsi="Times New Roman" w:cs="Times New Roman"/>
                        <w:b/>
                        <w:bCs/>
                        <w:i/>
                        <w:iCs/>
                        <w:color w:val="0000FF"/>
                        <w:sz w:val="20"/>
                        <w:szCs w:val="20"/>
                        <w:u w:val="single"/>
                      </w:rPr>
                      <w:t>cis</w:t>
                    </w:r>
                    <w:r w:rsidRPr="0005639F">
                      <w:rPr>
                        <w:rFonts w:ascii="Times New Roman" w:eastAsia="Times New Roman" w:hAnsi="Times New Roman" w:cs="Times New Roman"/>
                        <w:b/>
                        <w:bCs/>
                        <w:color w:val="0000FF"/>
                        <w:sz w:val="20"/>
                        <w:szCs w:val="20"/>
                        <w:u w:val="single"/>
                      </w:rPr>
                      <w:t>-(</w:t>
                    </w:r>
                    <w:r w:rsidRPr="0005639F">
                      <w:rPr>
                        <w:rFonts w:ascii="Times New Roman" w:eastAsia="Times New Roman" w:hAnsi="Times New Roman" w:cs="Times New Roman"/>
                        <w:b/>
                        <w:bCs/>
                        <w:i/>
                        <w:iCs/>
                        <w:color w:val="0000FF"/>
                        <w:sz w:val="20"/>
                        <w:szCs w:val="20"/>
                        <w:u w:val="single"/>
                      </w:rPr>
                      <w:t>S</w:t>
                    </w:r>
                    <w:r w:rsidRPr="0005639F">
                      <w:rPr>
                        <w:rFonts w:ascii="Times New Roman" w:eastAsia="Times New Roman" w:hAnsi="Times New Roman" w:cs="Times New Roman"/>
                        <w:b/>
                        <w:bCs/>
                        <w:color w:val="0000FF"/>
                        <w:sz w:val="20"/>
                        <w:szCs w:val="20"/>
                        <w:u w:val="single"/>
                      </w:rPr>
                      <w:t>,</w:t>
                    </w:r>
                    <w:r w:rsidRPr="0005639F">
                      <w:rPr>
                        <w:rFonts w:ascii="Times New Roman" w:eastAsia="Times New Roman" w:hAnsi="Times New Roman" w:cs="Times New Roman"/>
                        <w:b/>
                        <w:bCs/>
                        <w:i/>
                        <w:iCs/>
                        <w:color w:val="0000FF"/>
                        <w:sz w:val="20"/>
                        <w:szCs w:val="20"/>
                        <w:u w:val="single"/>
                      </w:rPr>
                      <w:t>R</w:t>
                    </w:r>
                    <w:r w:rsidRPr="0005639F">
                      <w:rPr>
                        <w:rFonts w:ascii="Times New Roman" w:eastAsia="Times New Roman" w:hAnsi="Times New Roman" w:cs="Times New Roman"/>
                        <w:b/>
                        <w:bCs/>
                        <w:color w:val="0000FF"/>
                        <w:sz w:val="20"/>
                        <w:szCs w:val="20"/>
                        <w:u w:val="single"/>
                      </w:rPr>
                      <w:t>,</w:t>
                    </w:r>
                    <w:r w:rsidRPr="0005639F">
                      <w:rPr>
                        <w:rFonts w:ascii="Times New Roman" w:eastAsia="Times New Roman" w:hAnsi="Times New Roman" w:cs="Times New Roman"/>
                        <w:b/>
                        <w:bCs/>
                        <w:i/>
                        <w:iCs/>
                        <w:color w:val="0000FF"/>
                        <w:sz w:val="20"/>
                        <w:szCs w:val="20"/>
                        <w:u w:val="single"/>
                      </w:rPr>
                      <w:t>R</w:t>
                    </w:r>
                    <w:r w:rsidRPr="0005639F">
                      <w:rPr>
                        <w:rFonts w:ascii="Times New Roman" w:eastAsia="Times New Roman" w:hAnsi="Times New Roman" w:cs="Times New Roman"/>
                        <w:b/>
                        <w:bCs/>
                        <w:color w:val="0000FF"/>
                        <w:sz w:val="20"/>
                        <w:szCs w:val="20"/>
                        <w:u w:val="single"/>
                      </w:rPr>
                      <w:t>)-1,2,4-triaminocyclohexanes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A synthetic route was identified for the stereochemically challenging 1,2,4-triaminocyclohexane compound </w:t>
                  </w:r>
                  <w:r w:rsidRPr="0005639F">
                    <w:rPr>
                      <w:rFonts w:ascii="Times New Roman" w:eastAsia="Times New Roman" w:hAnsi="Times New Roman" w:cs="Times New Roman"/>
                      <w:b/>
                      <w:bCs/>
                      <w:sz w:val="20"/>
                      <w:szCs w:val="20"/>
                    </w:rPr>
                    <w:t>BMS-755172</w:t>
                  </w:r>
                  <w:r w:rsidRPr="0005639F">
                    <w:rPr>
                      <w:rFonts w:ascii="Times New Roman" w:eastAsia="Times New Roman" w:hAnsi="Times New Roman" w:cs="Times New Roman"/>
                      <w:sz w:val="20"/>
                      <w:szCs w:val="20"/>
                    </w:rPr>
                    <w:t xml:space="preserve">. Starting from 5-nitrobenzimidazole </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the known rhodium catalyzed hydrogenation and resolution sequence was optimized to provide optically pure</w:t>
                  </w:r>
                  <w:r w:rsidRPr="0005639F">
                    <w:rPr>
                      <w:rFonts w:ascii="Times New Roman" w:eastAsia="Times New Roman" w:hAnsi="Times New Roman" w:cs="Times New Roman"/>
                      <w:b/>
                      <w:bCs/>
                      <w:sz w:val="20"/>
                      <w:szCs w:val="20"/>
                    </w:rPr>
                    <w:t xml:space="preserve"> 2</w:t>
                  </w:r>
                  <w:r w:rsidRPr="0005639F">
                    <w:rPr>
                      <w:rFonts w:ascii="Times New Roman" w:eastAsia="Times New Roman" w:hAnsi="Times New Roman" w:cs="Times New Roman"/>
                      <w:sz w:val="20"/>
                      <w:szCs w:val="20"/>
                    </w:rPr>
                    <w:t xml:space="preserve">. Protection of the primary amine as trifluoroacetamide followed by chiral Lewis base catalyzed regioselective boc-protection of the imidazole afforded </w:t>
                  </w:r>
                  <w:r w:rsidRPr="0005639F">
                    <w:rPr>
                      <w:rFonts w:ascii="Times New Roman" w:eastAsia="Times New Roman" w:hAnsi="Times New Roman" w:cs="Times New Roman"/>
                      <w:b/>
                      <w:bCs/>
                      <w:sz w:val="20"/>
                      <w:szCs w:val="20"/>
                    </w:rPr>
                    <w:t>3</w:t>
                  </w:r>
                  <w:r w:rsidRPr="0005639F">
                    <w:rPr>
                      <w:rFonts w:ascii="Times New Roman" w:eastAsia="Times New Roman" w:hAnsi="Times New Roman" w:cs="Times New Roman"/>
                      <w:sz w:val="20"/>
                      <w:szCs w:val="20"/>
                    </w:rPr>
                    <w:t xml:space="preserve">. Hydrogenation of the imidazole ring in the presence of acetic anhydride produced </w:t>
                  </w:r>
                  <w:r w:rsidRPr="0005639F">
                    <w:rPr>
                      <w:rFonts w:ascii="Times New Roman" w:eastAsia="Times New Roman" w:hAnsi="Times New Roman" w:cs="Times New Roman"/>
                      <w:b/>
                      <w:bCs/>
                      <w:sz w:val="20"/>
                      <w:szCs w:val="20"/>
                    </w:rPr>
                    <w:t>4</w:t>
                  </w:r>
                  <w:r w:rsidRPr="0005639F">
                    <w:rPr>
                      <w:rFonts w:ascii="Times New Roman" w:eastAsia="Times New Roman" w:hAnsi="Times New Roman" w:cs="Times New Roman"/>
                      <w:sz w:val="20"/>
                      <w:szCs w:val="20"/>
                    </w:rPr>
                    <w:t xml:space="preserve"> as the major isomer, which was isolated in high purity by crystallization. With all three amino groups fully differentiated, all </w:t>
                  </w:r>
                  <w:r w:rsidRPr="0005639F">
                    <w:rPr>
                      <w:rFonts w:ascii="Times New Roman" w:eastAsia="Times New Roman" w:hAnsi="Times New Roman" w:cs="Times New Roman"/>
                      <w:i/>
                      <w:iCs/>
                      <w:sz w:val="20"/>
                      <w:szCs w:val="20"/>
                    </w:rPr>
                    <w:t>cis</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S</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R</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R</w:t>
                  </w:r>
                  <w:r w:rsidRPr="0005639F">
                    <w:rPr>
                      <w:rFonts w:ascii="Times New Roman" w:eastAsia="Times New Roman" w:hAnsi="Times New Roman" w:cs="Times New Roman"/>
                      <w:sz w:val="20"/>
                      <w:szCs w:val="20"/>
                    </w:rPr>
                    <w:t xml:space="preserve">)-1,2,4-triaminocyclohexane </w:t>
                  </w:r>
                  <w:r w:rsidRPr="0005639F">
                    <w:rPr>
                      <w:rFonts w:ascii="Times New Roman" w:eastAsia="Times New Roman" w:hAnsi="Times New Roman" w:cs="Times New Roman"/>
                      <w:b/>
                      <w:bCs/>
                      <w:sz w:val="20"/>
                      <w:szCs w:val="20"/>
                    </w:rPr>
                    <w:t>4</w:t>
                  </w:r>
                  <w:r w:rsidRPr="0005639F">
                    <w:rPr>
                      <w:rFonts w:ascii="Times New Roman" w:eastAsia="Times New Roman" w:hAnsi="Times New Roman" w:cs="Times New Roman"/>
                      <w:sz w:val="20"/>
                      <w:szCs w:val="20"/>
                    </w:rPr>
                    <w:t xml:space="preserve"> was then converted to </w:t>
                  </w:r>
                  <w:r w:rsidRPr="0005639F">
                    <w:rPr>
                      <w:rFonts w:ascii="Times New Roman" w:eastAsia="Times New Roman" w:hAnsi="Times New Roman" w:cs="Times New Roman"/>
                      <w:b/>
                      <w:bCs/>
                      <w:sz w:val="20"/>
                      <w:szCs w:val="20"/>
                    </w:rPr>
                    <w:t>BMS-755172</w:t>
                  </w:r>
                  <w:r w:rsidRPr="0005639F">
                    <w:rPr>
                      <w:rFonts w:ascii="Times New Roman" w:eastAsia="Times New Roman" w:hAnsi="Times New Roman" w:cs="Times New Roman"/>
                      <w:sz w:val="20"/>
                      <w:szCs w:val="20"/>
                    </w:rPr>
                    <w:t xml:space="preserve">, a key intermediate for the synthesis of a CCR2 inhibitor </w:t>
                  </w:r>
                  <w:r w:rsidRPr="0005639F">
                    <w:rPr>
                      <w:rFonts w:ascii="Times New Roman" w:eastAsia="Times New Roman" w:hAnsi="Times New Roman" w:cs="Times New Roman"/>
                      <w:b/>
                      <w:bCs/>
                      <w:sz w:val="20"/>
                      <w:szCs w:val="20"/>
                    </w:rPr>
                    <w:t>BMS-741672</w:t>
                  </w:r>
                  <w:r w:rsidRPr="0005639F">
                    <w:rPr>
                      <w:rFonts w:ascii="Times New Roman" w:eastAsia="Times New Roman" w:hAnsi="Times New Roman" w:cs="Times New Roman"/>
                      <w:sz w:val="20"/>
                      <w:szCs w:val="20"/>
                    </w:rPr>
                    <w: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5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2290708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Kyoung Joo Jin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David B. Collum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 Ithaca, NY, United States. </w:t>
                  </w:r>
                  <w:r w:rsidRPr="0005639F">
                    <w:rPr>
                      <w:rFonts w:ascii="Times New Roman" w:eastAsia="Times New Roman" w:hAnsi="Times New Roman" w:cs="Times New Roman"/>
                      <w:sz w:val="20"/>
                      <w:szCs w:val="20"/>
                    </w:rPr>
                    <w:br/>
                    <w:t xml:space="preserve">2.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89" w:anchor="2290708" w:history="1">
                    <w:r w:rsidRPr="0005639F">
                      <w:rPr>
                        <w:rFonts w:ascii="Times New Roman" w:eastAsia="Times New Roman" w:hAnsi="Times New Roman" w:cs="Times New Roman"/>
                        <w:color w:val="0000FF"/>
                        <w:sz w:val="20"/>
                        <w:szCs w:val="20"/>
                        <w:u w:val="single"/>
                      </w:rPr>
                      <w:t>Structural and mechanistic studies of glycinimine-derived enolates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Glycinimine esters are protected forms of glycine useful for generating unusual amino acids via reactions such as alkylation and Michael addition. They are readily enolized by lithium bases and form aggregates </w:t>
                  </w:r>
                  <w:r w:rsidRPr="0005639F">
                    <w:rPr>
                      <w:rFonts w:ascii="Times New Roman" w:eastAsia="Times New Roman" w:hAnsi="Times New Roman" w:cs="Times New Roman"/>
                      <w:sz w:val="20"/>
                      <w:szCs w:val="20"/>
                    </w:rPr>
                    <w:lastRenderedPageBreak/>
                    <w:t xml:space="preserve">upon aging. A variety of lithium enolate aggregates including hexamers, symmetric dimers, and spirocyclic dimers appear under different conditions, and despite the possibility of their influence on reactivity and selectivity, the structures of these aggregates have not been thoroughly investigated in the past. The solution structures of the enolate aggregates with several ligands have been identified by Method of Continuous Variations (MCV) and </w:t>
                  </w:r>
                  <w:r w:rsidRPr="0005639F">
                    <w:rPr>
                      <w:rFonts w:ascii="Times New Roman" w:eastAsia="Times New Roman" w:hAnsi="Times New Roman" w:cs="Times New Roman"/>
                      <w:sz w:val="20"/>
                      <w:szCs w:val="20"/>
                      <w:vertAlign w:val="superscript"/>
                    </w:rPr>
                    <w:t>15</w:t>
                  </w:r>
                  <w:r w:rsidRPr="0005639F">
                    <w:rPr>
                      <w:rFonts w:ascii="Times New Roman" w:eastAsia="Times New Roman" w:hAnsi="Times New Roman" w:cs="Times New Roman"/>
                      <w:sz w:val="20"/>
                      <w:szCs w:val="20"/>
                    </w:rPr>
                    <w:t>N-labeling experiments using multinuclear NMR spectroscopy. Embracing the result of the structural studies as a foundation, the mechanistic studies on Michael addition are currently underway. The preliminary results suggest chelating ligands such as (</w:t>
                  </w:r>
                  <w:r w:rsidRPr="0005639F">
                    <w:rPr>
                      <w:rFonts w:ascii="Times New Roman" w:eastAsia="Times New Roman" w:hAnsi="Times New Roman" w:cs="Times New Roman"/>
                      <w:i/>
                      <w:iCs/>
                      <w:sz w:val="20"/>
                      <w:szCs w:val="20"/>
                    </w:rPr>
                    <w:t>S,S</w:t>
                  </w:r>
                  <w:r w:rsidRPr="0005639F">
                    <w:rPr>
                      <w:rFonts w:ascii="Times New Roman" w:eastAsia="Times New Roman" w:hAnsi="Times New Roman" w:cs="Times New Roman"/>
                      <w:sz w:val="20"/>
                      <w:szCs w:val="20"/>
                    </w:rPr>
                    <w:t>)-TMCDA lead to enhanced diastereoselectivity compared to THF.</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2290868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Arijit A. Adhikari</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Yue Wu</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Reesheda J. Gilbert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John D. Chisholm</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Kennesaw State University, Kennesaw, GA, United States. </w:t>
                  </w:r>
                  <w:r w:rsidRPr="0005639F">
                    <w:rPr>
                      <w:rFonts w:ascii="Times New Roman" w:eastAsia="Times New Roman" w:hAnsi="Times New Roman" w:cs="Times New Roman"/>
                      <w:sz w:val="20"/>
                      <w:szCs w:val="20"/>
                    </w:rPr>
                    <w:br/>
                    <w:t xml:space="preserve">2. Syracuse University, Syracuse, NY, United States. </w:t>
                  </w:r>
                  <w:r w:rsidRPr="0005639F">
                    <w:rPr>
                      <w:rFonts w:ascii="Times New Roman" w:eastAsia="Times New Roman" w:hAnsi="Times New Roman" w:cs="Times New Roman"/>
                      <w:sz w:val="20"/>
                      <w:szCs w:val="20"/>
                    </w:rPr>
                    <w:br/>
                    <w:t xml:space="preserve">3. Chemistry ,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0" w:anchor="2290868" w:history="1">
                    <w:r w:rsidRPr="0005639F">
                      <w:rPr>
                        <w:rFonts w:ascii="Times New Roman" w:eastAsia="Times New Roman" w:hAnsi="Times New Roman" w:cs="Times New Roman"/>
                        <w:b/>
                        <w:bCs/>
                        <w:color w:val="0000FF"/>
                        <w:sz w:val="20"/>
                        <w:szCs w:val="20"/>
                        <w:u w:val="single"/>
                      </w:rPr>
                      <w:t>Thermal Rearrangements of Benzylic Trichloroacetimidates to Trichloroacetamides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[3,3]-Sigmatropic rearrangements of allylic trichloroacetimidates to their corresponding trichloroacetamides under thermolytic or acid catalyzed conditions have been widely reported. However the corresponding rearrangements in benzylic systems have not been studied in detail. Herein we investigate the rearrangement of benzylic trichloroacetimidates to provide the corresponding trichloroacetamides. Readily available alcohols were converted to their respective trichloroacetimidates under base catalyzed conditions in good to excellent yields. When heated many of these imidates undergo complete rearrangement to the corresponding acetamide without the use of external catalyst. Rearrangement has been accomplished in both electron rich and electron poor secondary benzylic systems or with tertiary imidates in good to excellent yields without significant elimination. The application of this methodology to more complex systems that resemble complex natural products will also be described.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2291995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Kee H. Lee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Youngji Ahn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Heeyoung Kwon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jungmi park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Minju Kim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College of Sciences, Nanoscale Sciences and Technology Institute, Wonkwang University, Iksan Jeonbuk, Korea (the Republic of).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1" w:anchor="2291995" w:history="1">
                    <w:r w:rsidRPr="0005639F">
                      <w:rPr>
                        <w:rFonts w:ascii="Times New Roman" w:eastAsia="Times New Roman" w:hAnsi="Times New Roman" w:cs="Times New Roman"/>
                        <w:color w:val="0000FF"/>
                        <w:sz w:val="20"/>
                        <w:szCs w:val="20"/>
                        <w:u w:val="single"/>
                      </w:rPr>
                      <w:t>Determination of atomic structures and relative stabilities of C</w:t>
                    </w:r>
                    <w:r w:rsidRPr="0005639F">
                      <w:rPr>
                        <w:rFonts w:ascii="Times New Roman" w:eastAsia="Times New Roman" w:hAnsi="Times New Roman" w:cs="Times New Roman"/>
                        <w:color w:val="0000FF"/>
                        <w:sz w:val="20"/>
                        <w:szCs w:val="20"/>
                        <w:u w:val="single"/>
                        <w:vertAlign w:val="subscript"/>
                      </w:rPr>
                      <w:t>20</w:t>
                    </w:r>
                    <w:r w:rsidRPr="0005639F">
                      <w:rPr>
                        <w:rFonts w:ascii="Times New Roman" w:eastAsia="Times New Roman" w:hAnsi="Times New Roman" w:cs="Times New Roman"/>
                        <w:color w:val="0000FF"/>
                        <w:sz w:val="20"/>
                        <w:szCs w:val="20"/>
                        <w:u w:val="single"/>
                      </w:rPr>
                      <w:t>X</w:t>
                    </w:r>
                    <w:r w:rsidRPr="0005639F">
                      <w:rPr>
                        <w:rFonts w:ascii="Times New Roman" w:eastAsia="Times New Roman" w:hAnsi="Times New Roman" w:cs="Times New Roman"/>
                        <w:color w:val="0000FF"/>
                        <w:sz w:val="20"/>
                        <w:szCs w:val="20"/>
                        <w:u w:val="single"/>
                        <w:vertAlign w:val="subscript"/>
                      </w:rPr>
                      <w:t>n</w:t>
                    </w:r>
                    <w:r w:rsidRPr="0005639F">
                      <w:rPr>
                        <w:rFonts w:ascii="Times New Roman" w:eastAsia="Times New Roman" w:hAnsi="Times New Roman" w:cs="Times New Roman"/>
                        <w:color w:val="0000FF"/>
                        <w:sz w:val="20"/>
                        <w:szCs w:val="20"/>
                        <w:u w:val="single"/>
                      </w:rPr>
                      <w:t xml:space="preserve"> regioisomers (X=H, F, Cl, and Br; n=3 </w:t>
                    </w:r>
                    <w:r w:rsidRPr="0005639F">
                      <w:rPr>
                        <w:rFonts w:ascii="Times New Roman" w:eastAsia="Times New Roman" w:hAnsi="Times New Roman" w:cs="Times New Roman"/>
                        <w:color w:val="0000FF"/>
                        <w:sz w:val="20"/>
                        <w:szCs w:val="20"/>
                        <w:u w:val="single"/>
                      </w:rPr>
                      <w:lastRenderedPageBreak/>
                      <w:t>and 4) by the hybrid density-functional B3LYP method</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Using the hybrid density functional (B3LYP/6-31G(d, p) method, we performed full-geometry optimizations of 15 C</w:t>
                  </w:r>
                  <w:r w:rsidRPr="0005639F">
                    <w:rPr>
                      <w:rFonts w:ascii="Times New Roman" w:eastAsia="Times New Roman" w:hAnsi="Times New Roman" w:cs="Times New Roman"/>
                      <w:sz w:val="20"/>
                      <w:szCs w:val="20"/>
                      <w:vertAlign w:val="subscript"/>
                    </w:rPr>
                    <w:t>20</w:t>
                  </w:r>
                  <w:r w:rsidRPr="0005639F">
                    <w:rPr>
                      <w:rFonts w:ascii="Times New Roman" w:eastAsia="Times New Roman" w:hAnsi="Times New Roman" w:cs="Times New Roman"/>
                      <w:sz w:val="20"/>
                      <w:szCs w:val="20"/>
                    </w:rPr>
                    <w:t>X</w:t>
                  </w:r>
                  <w:r w:rsidRPr="0005639F">
                    <w:rPr>
                      <w:rFonts w:ascii="Times New Roman" w:eastAsia="Times New Roman" w:hAnsi="Times New Roman" w:cs="Times New Roman"/>
                      <w:sz w:val="20"/>
                      <w:szCs w:val="20"/>
                      <w:vertAlign w:val="subscript"/>
                    </w:rPr>
                    <w:t xml:space="preserve">3 </w:t>
                  </w:r>
                  <w:r w:rsidRPr="0005639F">
                    <w:rPr>
                      <w:rFonts w:ascii="Times New Roman" w:eastAsia="Times New Roman" w:hAnsi="Times New Roman" w:cs="Times New Roman"/>
                      <w:sz w:val="20"/>
                      <w:szCs w:val="20"/>
                    </w:rPr>
                    <w:t>and 57 C</w:t>
                  </w:r>
                  <w:r w:rsidRPr="0005639F">
                    <w:rPr>
                      <w:rFonts w:ascii="Times New Roman" w:eastAsia="Times New Roman" w:hAnsi="Times New Roman" w:cs="Times New Roman"/>
                      <w:sz w:val="20"/>
                      <w:szCs w:val="20"/>
                      <w:vertAlign w:val="subscript"/>
                    </w:rPr>
                    <w:t>20</w:t>
                  </w:r>
                  <w:r w:rsidRPr="0005639F">
                    <w:rPr>
                      <w:rFonts w:ascii="Times New Roman" w:eastAsia="Times New Roman" w:hAnsi="Times New Roman" w:cs="Times New Roman"/>
                      <w:sz w:val="20"/>
                      <w:szCs w:val="20"/>
                    </w:rPr>
                    <w:t>X</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regioissomers which are geometric isomers, i.e., they differ in their spatial arrangement. Our results suggest that the crowded adducts are more stable than the scattered adducts. And the order of thermal stability for regioisomers is different to the order of the HOMO-LUMO gap for them, which implys the kinetical stability.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2292102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Nicholas B. Sizemore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Gidget Tay</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Scott D. Rychnovsky</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and Physics, King's College, Kingston, PA, United States. </w:t>
                  </w:r>
                  <w:r w:rsidRPr="0005639F">
                    <w:rPr>
                      <w:rFonts w:ascii="Times New Roman" w:eastAsia="Times New Roman" w:hAnsi="Times New Roman" w:cs="Times New Roman"/>
                      <w:sz w:val="20"/>
                      <w:szCs w:val="20"/>
                    </w:rPr>
                    <w:br/>
                    <w:t xml:space="preserve">2. Dept of Chemistry, University of California, Irvine, CA,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2" w:anchor="2292102" w:history="1">
                    <w:r w:rsidRPr="0005639F">
                      <w:rPr>
                        <w:rFonts w:ascii="Times New Roman" w:eastAsia="Times New Roman" w:hAnsi="Times New Roman" w:cs="Times New Roman"/>
                        <w:color w:val="0000FF"/>
                        <w:sz w:val="20"/>
                        <w:szCs w:val="20"/>
                        <w:u w:val="single"/>
                      </w:rPr>
                      <w:t>Synthetic and computational investigations of intramolecular aza-Diels–Alder reactions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scope and diastereoselectivity of intramolecular Diels–Alder reactions using 2-cyano-1-aza-1,3-butadienes have been investigated. Optimization of the synthesis of these substrates and the cyclization will be presented. Computational rationale for the observed diastereoselectivities of the cyclization will also be described. The products of these reactions are highly substituted quinolizidine and indolizidine heterocycles, which are structural motifs found in a variety of natural products.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2292236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Donald Poirier</w:t>
                  </w:r>
                  <w:r w:rsidRPr="0005639F">
                    <w:rPr>
                      <w:rFonts w:ascii="Times New Roman" w:eastAsia="Times New Roman" w:hAnsi="Times New Roman" w:cs="Times New Roman"/>
                      <w:sz w:val="20"/>
                      <w:szCs w:val="20"/>
                      <w:vertAlign w:val="superscript"/>
                    </w:rPr>
                    <w:t>2, 1</w:t>
                  </w:r>
                  <w:r w:rsidRPr="0005639F">
                    <w:rPr>
                      <w:rFonts w:ascii="Times New Roman" w:eastAsia="Times New Roman" w:hAnsi="Times New Roman" w:cs="Times New Roman"/>
                      <w:sz w:val="20"/>
                      <w:szCs w:val="20"/>
                    </w:rPr>
                    <w:t>, Rene Maltais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CRCHU de Quebec, Quebec, QC, Canada. </w:t>
                  </w:r>
                  <w:r w:rsidRPr="0005639F">
                    <w:rPr>
                      <w:rFonts w:ascii="Times New Roman" w:eastAsia="Times New Roman" w:hAnsi="Times New Roman" w:cs="Times New Roman"/>
                      <w:sz w:val="20"/>
                      <w:szCs w:val="20"/>
                    </w:rPr>
                    <w:br/>
                    <w:t xml:space="preserve">2. Molecular Medicine, University Laval, Québec, QC, Canada.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3" w:anchor="2292236" w:history="1">
                    <w:r w:rsidRPr="0005639F">
                      <w:rPr>
                        <w:rFonts w:ascii="Times New Roman" w:eastAsia="Times New Roman" w:hAnsi="Times New Roman" w:cs="Times New Roman"/>
                        <w:color w:val="0000FF"/>
                        <w:sz w:val="20"/>
                        <w:szCs w:val="20"/>
                        <w:u w:val="single"/>
                      </w:rPr>
                      <w:t>Solid-phase and solution-phase syntheses of three promising anticancer compounds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Cancer is responsible for one in four deaths in the USA and Canada. In fact, despite the large number of available cancer-treating drugs, the development of new ones acting by different mechanisms of action is required to overcome drug resistance and to improve patients’ overall survival rate. From structure-activity relationship studies, we have developed three molecules acting differently as anticancer agents. The first one (A) is designed from a tetrahydroisoquinoline backbone and inhibits the steroid sulfatase. The second one (B) is an androsterone derivative that inhibits 17β-hydroxysteroid dehydrogenase type 3. Compounds A and B both target the biosynthesis </w:t>
                  </w:r>
                  <w:r w:rsidRPr="0005639F">
                    <w:rPr>
                      <w:rFonts w:ascii="Times New Roman" w:eastAsia="Times New Roman" w:hAnsi="Times New Roman" w:cs="Times New Roman"/>
                      <w:sz w:val="20"/>
                      <w:szCs w:val="20"/>
                    </w:rPr>
                    <w:lastRenderedPageBreak/>
                    <w:t xml:space="preserve">pathways of estrogenic and androgenic hormones as a means of reducing the level of key hormones and, consequently, reducing the growth of hormone-dependent tumors. The third compound (C) is a 5α-androstane-3,17-diol derivative inducing the stress of endoplasmic reticulum and reducing tumor growth in four xenograft models of cancer (pancreas, leukemia, ovary and breast). Compounds A-C were first synthesized in small quantities by solid-phase chemistry using three different linkers (sulfamate, ketal and diethylsilylacetylenic) and then in larger quantities for </w:t>
                  </w:r>
                  <w:r w:rsidRPr="0005639F">
                    <w:rPr>
                      <w:rFonts w:ascii="Times New Roman" w:eastAsia="Times New Roman" w:hAnsi="Times New Roman" w:cs="Times New Roman"/>
                      <w:i/>
                      <w:iCs/>
                      <w:sz w:val="20"/>
                      <w:szCs w:val="20"/>
                    </w:rPr>
                    <w:t>in vivo</w:t>
                  </w:r>
                  <w:r w:rsidRPr="0005639F">
                    <w:rPr>
                      <w:rFonts w:ascii="Times New Roman" w:eastAsia="Times New Roman" w:hAnsi="Times New Roman" w:cs="Times New Roman"/>
                      <w:sz w:val="20"/>
                      <w:szCs w:val="20"/>
                    </w:rPr>
                    <w:t xml:space="preserve"> assays using solution-phase chemistry. This presentation will focus on the chemical syntheses and characterization of these three promising anticancer agents. Some important biological results will be also highlighted.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2217816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Juan Duchimaza Heredia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KaKing Yan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Aaron D. Sadow</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Mark S. Gordon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Iowa State University, Ames, IA, United States. </w:t>
                  </w:r>
                  <w:r w:rsidRPr="0005639F">
                    <w:rPr>
                      <w:rFonts w:ascii="Times New Roman" w:eastAsia="Times New Roman" w:hAnsi="Times New Roman" w:cs="Times New Roman"/>
                      <w:sz w:val="20"/>
                      <w:szCs w:val="20"/>
                    </w:rPr>
                    <w:br/>
                    <w:t xml:space="preserve">2. Ames Lab US DOE, Iowa State University, Ames, IA, United States. </w:t>
                  </w:r>
                  <w:r w:rsidRPr="0005639F">
                    <w:rPr>
                      <w:rFonts w:ascii="Times New Roman" w:eastAsia="Times New Roman" w:hAnsi="Times New Roman" w:cs="Times New Roman"/>
                      <w:sz w:val="20"/>
                      <w:szCs w:val="20"/>
                    </w:rPr>
                    <w:br/>
                    <w:t xml:space="preserve">3. Department of Chemistry, Iowa State University, Ames, IA,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4" w:anchor="2217816" w:history="1">
                    <w:r w:rsidRPr="0005639F">
                      <w:rPr>
                        <w:rFonts w:ascii="Times New Roman" w:eastAsia="Times New Roman" w:hAnsi="Times New Roman" w:cs="Times New Roman"/>
                        <w:color w:val="0000FF"/>
                        <w:sz w:val="20"/>
                        <w:szCs w:val="20"/>
                        <w:u w:val="single"/>
                      </w:rPr>
                      <w:t>A quasi-atomic perspective of three-center-two-electron Zr-H-Si interactions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cationic disilazido zirconocene complex [Cp</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ZrN(SiHMe</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exhibits spectroscopic and structural features analogous to intramolecular 3-center-2-electron metal-H-C agostic interactions. These interactions facilitate hydrogen migration between the metal center and the disilazido ligand, leading to unexpected reactivity between the cation and Lewis bases. Ab initio calculations verify the agostic-like Zr-H-Si interaction. A novel quantitative orbital localization scheme generates quasi-atomic molecular orbitals. The quasi-atomic orbital localization is applied for more comprehensive analysis of the individual atomic contributions to the intramolecular interaction between zirconium and β-hydrogen atoms. As a result, this study provides key insights into the mechanistic importance of agostic-like interactions in early transition metal chemistry.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2251530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Robert J. Stewart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John B. Asbury</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Pennsylvania State University, State College, PA, United States. </w:t>
                  </w:r>
                  <w:r w:rsidRPr="0005639F">
                    <w:rPr>
                      <w:rFonts w:ascii="Times New Roman" w:eastAsia="Times New Roman" w:hAnsi="Times New Roman" w:cs="Times New Roman"/>
                      <w:sz w:val="20"/>
                      <w:szCs w:val="20"/>
                    </w:rPr>
                    <w:br/>
                    <w:t xml:space="preserve">2. Chemistry, Pennsylvania State University, State College,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5" w:anchor="2251530" w:history="1">
                    <w:r w:rsidRPr="0005639F">
                      <w:rPr>
                        <w:rFonts w:ascii="Times New Roman" w:eastAsia="Times New Roman" w:hAnsi="Times New Roman" w:cs="Times New Roman"/>
                        <w:color w:val="0000FF"/>
                        <w:sz w:val="20"/>
                        <w:szCs w:val="20"/>
                        <w:u w:val="single"/>
                      </w:rPr>
                      <w:t>Origin of Recombination Centers in Organo-Halide Perovskites for Solar Photoconversion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r>
                  <w:r w:rsidRPr="0005639F">
                    <w:rPr>
                      <w:rFonts w:ascii="Times New Roman" w:eastAsia="Times New Roman" w:hAnsi="Times New Roman" w:cs="Times New Roman"/>
                      <w:b/>
                      <w:bCs/>
                      <w:sz w:val="20"/>
                      <w:szCs w:val="20"/>
                    </w:rPr>
                    <w:lastRenderedPageBreak/>
                    <w:t xml:space="preserve">Abstract: </w:t>
                  </w:r>
                  <w:r w:rsidRPr="0005639F">
                    <w:rPr>
                      <w:rFonts w:ascii="Times New Roman" w:eastAsia="Times New Roman" w:hAnsi="Times New Roman" w:cs="Times New Roman"/>
                      <w:sz w:val="20"/>
                      <w:szCs w:val="20"/>
                    </w:rPr>
                    <w:t>Photovoltaics based on organo-halide perovskite absorbers are an emerging technology due to the recent explosion in their solar to electric power conversion efficiencies. Unusually high open-circuit voltages, long charge carrier lifetimes, and long diffusion lengths have been observed in these materials, which suggest these films have low defect densities. However, experimental evidence for the electronic structure and the identity of defects has been lacking. We sought to systematically explore the chemical nature defects in organo-halide perovskite films and the resulting influence of these defects on the densities of mid-gap states that may act as recombination centers for photogenerated charge carriers. By systematically altering film composition and measuring the charge carrier lifetime with transient photoluminescence and absorbance spectroscopy, we identify defects that are deleterious to charge carrier recombination.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2260780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Maricris D. Mayes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Biochemistry, University of Massachusetts Dartmouth, North Dartmouth,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6" w:anchor="2260780" w:history="1">
                    <w:r w:rsidRPr="0005639F">
                      <w:rPr>
                        <w:rFonts w:ascii="Times New Roman" w:eastAsia="Times New Roman" w:hAnsi="Times New Roman" w:cs="Times New Roman"/>
                        <w:color w:val="0000FF"/>
                        <w:sz w:val="20"/>
                        <w:szCs w:val="20"/>
                        <w:u w:val="single"/>
                      </w:rPr>
                      <w:t>Photoswitchable spiropyran: Computational study of its photochromic reaction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Photoswitchable materials, such as spiropyrans, have been vigorously studied for construction of novel dynamic materials. Spiropyrans are photochromic molecules which can be switched reversibly between colorless spiropyran (closed form) to colorful merocyanine (open form) by light of appropriate radiation. These structural isomers have completely different physical and chemical properties. The light induced changes have been harnessed for applications in discovering innovative materials in optical switching, sunglasses, optical data storage, optical nanoparticles, photonic crystal, and sensors. We study the photoresponsive nitro-substituted spiropyran and different conformations of merocyanine using a variety of electronic structure methods. The solvent effects on these systems are also studied.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2266651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Lei Yu</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Timothy D. Vaden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Rowan University, Glassboro, NJ, United States. </w:t>
                  </w:r>
                  <w:r w:rsidRPr="0005639F">
                    <w:rPr>
                      <w:rFonts w:ascii="Times New Roman" w:eastAsia="Times New Roman" w:hAnsi="Times New Roman" w:cs="Times New Roman"/>
                      <w:sz w:val="20"/>
                      <w:szCs w:val="20"/>
                    </w:rPr>
                    <w:br/>
                    <w:t xml:space="preserve">2. Chemistry and Biochemistry, Rowan University, Glassboro,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7" w:anchor="2266651" w:history="1">
                    <w:r w:rsidRPr="0005639F">
                      <w:rPr>
                        <w:rFonts w:ascii="Times New Roman" w:eastAsia="Times New Roman" w:hAnsi="Times New Roman" w:cs="Times New Roman"/>
                        <w:color w:val="0000FF"/>
                        <w:sz w:val="20"/>
                        <w:szCs w:val="20"/>
                        <w:u w:val="single"/>
                      </w:rPr>
                      <w:t>Ionic Liquids as Solvents and Electrolytic Co-Solvent Additives for Proton Transfer and Protein Studies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Ionic liquids (ILs) are room-temperature molten organic salts that have broad applications in chemistry </w:t>
                  </w:r>
                  <w:r w:rsidRPr="0005639F">
                    <w:rPr>
                      <w:rFonts w:ascii="Times New Roman" w:eastAsia="Times New Roman" w:hAnsi="Times New Roman" w:cs="Times New Roman"/>
                      <w:sz w:val="20"/>
                      <w:szCs w:val="20"/>
                    </w:rPr>
                    <w:lastRenderedPageBreak/>
                    <w:t>and biochemistry. ILs can function as solvents and co-solvent additives for numerous solutions. Acidic ionic liquid (AIL) solutions can be prepared by dissolving Bronsted acids in ILs to create solutions with high proton conductivity for fuel cell and other electrochemical applications. Water soluble ILs can be used as additives in aqueous solution for biochemical and biomedical applications such as biomass preparation, enzyme modulation, and antibiotic enhancement. In both cases (electrochemical and biochemical), there are open questions regarding the nature of the solute-IL interactions. Acid-IL interactions in AIL solutions will be discussed using Raman and IR spectroscopy combined with DFT calculations to characterize the solvation structures of protons and acids solvated by IL molecular ions. Biomolecule-IL interactions in aqueous solution will be discussed using protein folding experiments combined by ESI-MS and hydrogen-deuterium exchange (HDX) measurements to identify protein.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r w:rsidRPr="0005639F">
                    <w:rPr>
                      <w:rFonts w:ascii="Times New Roman" w:eastAsia="Times New Roman" w:hAnsi="Times New Roman" w:cs="Times New Roman"/>
                      <w:sz w:val="20"/>
                      <w:szCs w:val="20"/>
                    </w:rPr>
                    <w:t>Please contact me if the oral presentation is not possible; I may want to apply to a different symposium, or do a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2278085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Jefferson Pruyne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Ming-Tao Lee</w:t>
                  </w:r>
                  <w:r w:rsidRPr="0005639F">
                    <w:rPr>
                      <w:rFonts w:ascii="Times New Roman" w:eastAsia="Times New Roman" w:hAnsi="Times New Roman" w:cs="Times New Roman"/>
                      <w:sz w:val="20"/>
                      <w:szCs w:val="20"/>
                      <w:vertAlign w:val="superscript"/>
                    </w:rPr>
                    <w:t>2, 4</w:t>
                  </w:r>
                  <w:r w:rsidRPr="0005639F">
                    <w:rPr>
                      <w:rFonts w:ascii="Times New Roman" w:eastAsia="Times New Roman" w:hAnsi="Times New Roman" w:cs="Times New Roman"/>
                      <w:sz w:val="20"/>
                      <w:szCs w:val="20"/>
                    </w:rPr>
                    <w:t>, Csaba Fábri</w:t>
                  </w:r>
                  <w:r w:rsidRPr="0005639F">
                    <w:rPr>
                      <w:rFonts w:ascii="Times New Roman" w:eastAsia="Times New Roman" w:hAnsi="Times New Roman" w:cs="Times New Roman"/>
                      <w:sz w:val="20"/>
                      <w:szCs w:val="20"/>
                      <w:vertAlign w:val="superscript"/>
                    </w:rPr>
                    <w:t>5</w:t>
                  </w:r>
                  <w:r w:rsidRPr="0005639F">
                    <w:rPr>
                      <w:rFonts w:ascii="Times New Roman" w:eastAsia="Times New Roman" w:hAnsi="Times New Roman" w:cs="Times New Roman"/>
                      <w:sz w:val="20"/>
                      <w:szCs w:val="20"/>
                    </w:rPr>
                    <w:t>, Amaia Beloqui Redondo</w:t>
                  </w:r>
                  <w:r w:rsidRPr="0005639F">
                    <w:rPr>
                      <w:rFonts w:ascii="Times New Roman" w:eastAsia="Times New Roman" w:hAnsi="Times New Roman" w:cs="Times New Roman"/>
                      <w:sz w:val="20"/>
                      <w:szCs w:val="20"/>
                      <w:vertAlign w:val="superscript"/>
                    </w:rPr>
                    <w:t>6</w:t>
                  </w:r>
                  <w:r w:rsidRPr="0005639F">
                    <w:rPr>
                      <w:rFonts w:ascii="Times New Roman" w:eastAsia="Times New Roman" w:hAnsi="Times New Roman" w:cs="Times New Roman"/>
                      <w:sz w:val="20"/>
                      <w:szCs w:val="20"/>
                    </w:rPr>
                    <w:t>, Armin Kleibert</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Markus Ammann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Matthew A. Brown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Maria Krisch</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Materials, Laboratory for Surface Science and Technology, ETH Zurich, Zurich, Switzerland. </w:t>
                  </w:r>
                  <w:r w:rsidRPr="0005639F">
                    <w:rPr>
                      <w:rFonts w:ascii="Times New Roman" w:eastAsia="Times New Roman" w:hAnsi="Times New Roman" w:cs="Times New Roman"/>
                      <w:sz w:val="20"/>
                      <w:szCs w:val="20"/>
                    </w:rPr>
                    <w:br/>
                    <w:t xml:space="preserve">2. Paul Scherrer Institute, Villigen, Switzerland. </w:t>
                  </w:r>
                  <w:r w:rsidRPr="0005639F">
                    <w:rPr>
                      <w:rFonts w:ascii="Times New Roman" w:eastAsia="Times New Roman" w:hAnsi="Times New Roman" w:cs="Times New Roman"/>
                      <w:sz w:val="20"/>
                      <w:szCs w:val="20"/>
                    </w:rPr>
                    <w:br/>
                    <w:t xml:space="preserve">3. Chemistry, Trinity College, West Hartford, CT, United States. </w:t>
                  </w:r>
                  <w:r w:rsidRPr="0005639F">
                    <w:rPr>
                      <w:rFonts w:ascii="Times New Roman" w:eastAsia="Times New Roman" w:hAnsi="Times New Roman" w:cs="Times New Roman"/>
                      <w:sz w:val="20"/>
                      <w:szCs w:val="20"/>
                    </w:rPr>
                    <w:br/>
                    <w:t xml:space="preserve">4. Chemistry and Biochemistry, University of Bern, Bern, CH-3003 , Switzerland. </w:t>
                  </w:r>
                  <w:r w:rsidRPr="0005639F">
                    <w:rPr>
                      <w:rFonts w:ascii="Times New Roman" w:eastAsia="Times New Roman" w:hAnsi="Times New Roman" w:cs="Times New Roman"/>
                      <w:sz w:val="20"/>
                      <w:szCs w:val="20"/>
                    </w:rPr>
                    <w:br/>
                    <w:t xml:space="preserve">5. Laboratory of Physical Chemistry, ETH Zurich, Zurich, CH-8093, Switzerland. </w:t>
                  </w:r>
                  <w:r w:rsidRPr="0005639F">
                    <w:rPr>
                      <w:rFonts w:ascii="Times New Roman" w:eastAsia="Times New Roman" w:hAnsi="Times New Roman" w:cs="Times New Roman"/>
                      <w:sz w:val="20"/>
                      <w:szCs w:val="20"/>
                    </w:rPr>
                    <w:br/>
                    <w:t xml:space="preserve">6. Institute for Chemical and Bioengineering, ETH Zurich, Zurich, CH-8093, Switzerland.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8" w:anchor="2278085" w:history="1">
                    <w:r w:rsidRPr="0005639F">
                      <w:rPr>
                        <w:rFonts w:ascii="Times New Roman" w:eastAsia="Times New Roman" w:hAnsi="Times New Roman" w:cs="Times New Roman"/>
                        <w:b/>
                        <w:bCs/>
                        <w:color w:val="0000FF"/>
                        <w:sz w:val="20"/>
                        <w:szCs w:val="20"/>
                        <w:u w:val="single"/>
                      </w:rPr>
                      <w:t xml:space="preserve">Surface Characterization of Formic Acid Solutions in Saltwater: A Comparison of Surface Tension and </w:t>
                    </w:r>
                    <w:r w:rsidRPr="0005639F">
                      <w:rPr>
                        <w:rFonts w:ascii="Times New Roman" w:eastAsia="Times New Roman" w:hAnsi="Times New Roman" w:cs="Times New Roman"/>
                        <w:color w:val="0000FF"/>
                        <w:sz w:val="20"/>
                        <w:szCs w:val="20"/>
                        <w:u w:val="single"/>
                      </w:rPr>
                      <w:br/>
                    </w:r>
                    <w:r w:rsidRPr="0005639F">
                      <w:rPr>
                        <w:rFonts w:ascii="Times New Roman" w:eastAsia="Times New Roman" w:hAnsi="Times New Roman" w:cs="Times New Roman"/>
                        <w:b/>
                        <w:bCs/>
                        <w:color w:val="0000FF"/>
                        <w:sz w:val="20"/>
                        <w:szCs w:val="20"/>
                        <w:u w:val="single"/>
                      </w:rPr>
                      <w:t>X-ray Photoelectron Spectroscopy Measurements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liquid-vapor interface is a region of theoretical interest and practical importance in the chemistry of atmospheric aerosol. Here we examine the liquid-vapor interface for mixtures of water, sodium chloride, and formic acid, an abundant chemical in the atmosphere. We compare the results of surface tension and X-ray photoelectron spectroscopy (XPS) measurements over a wide range of formic acid concentrations. Surface tension measurements provide a macroscopic characterization of solutions ranging from 0 to 3 M sodium chloride and from 0 to over 0.5 mole fraction formic acid. Sodium chloride was found to be a weak salting out agent for formic acid with the surface excess depending only slightly on salt concentration. In situ XPS provides a complementary molecular level description about the liquid-vapor interface. XPS measurements gave the C 1s to O 1s ratio for both total oxygen and oxygen from water. XPS also provides detailed electronic structure information that was matched to density functional theory calculations. Our data are consistent with surface tension measurements yielding a significantly more surface sensitive measurement than XPS due to the relatively weak propensity of formic acid for the interface. A simple model allowed us to replicate the XPS results under the assumption that the surface excess was contained in the top four angstroms of solution.</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6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2286435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Dmytro Kosenkov</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Yana Kholod</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Physics, Monmouth University, West Long Branch,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299" w:anchor="2286435" w:history="1">
                    <w:r w:rsidRPr="0005639F">
                      <w:rPr>
                        <w:rFonts w:ascii="Times New Roman" w:eastAsia="Times New Roman" w:hAnsi="Times New Roman" w:cs="Times New Roman"/>
                        <w:b/>
                        <w:bCs/>
                        <w:color w:val="0000FF"/>
                        <w:sz w:val="20"/>
                        <w:szCs w:val="20"/>
                        <w:u w:val="single"/>
                      </w:rPr>
                      <w:t>Dynamics of electronic excitations in complex molecular systems: A computational implementation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Dynamics of electronic excitations is crucial in determining the efficiency of energy transfer in artificial and natural chromophores participating in photosynthesis. The dynamics is modeled using the time-dependent semi-empirical Hamiltonian computed on-the-fly using classical ground-state molecular dynamics trajectory snapshots. The time evolution of the excitations is described by the Liouvuille—von Neumann dynamics. The computational method has been implemented in code using Python programming language with NumPy/SciPy libraries. The software is expandable and can take advantage of Graphics Processing Units (GPU) accelerations. The program has been also interfaced with the GAMESS electronic structure package. The energies of the excited states are computed using standard time-dependent density functional theory (TD-DFT) coupled with the fragment molecular orbital (FMO) method as implemented in GAMESS package. The proposed methodology helps to describe the dynamics of populations and coherency of electronic excited states in photosynthetic complexes such as peridinin-chlorophyll-protein, Fenna-Matthews-Olson complex, and phycoerythrin protein.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2287235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Pedro E. Lopes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Currently unemployd, Cockeysville,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0" w:anchor="2287235" w:history="1">
                    <w:r w:rsidRPr="0005639F">
                      <w:rPr>
                        <w:rFonts w:ascii="Times New Roman" w:eastAsia="Times New Roman" w:hAnsi="Times New Roman" w:cs="Times New Roman"/>
                        <w:b/>
                        <w:bCs/>
                        <w:color w:val="0000FF"/>
                        <w:sz w:val="20"/>
                        <w:szCs w:val="20"/>
                        <w:u w:val="single"/>
                      </w:rPr>
                      <w:t>Redefining the concepts of “large” and “fast” in ab initio MO theory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 molecular orbital (MO) theory, it is common to expand each MO in terms of atomic orbitals (AOs), which are themselves contractions over primitive Gaussian functions. Since two-electron integrals are functions of at most four AOs, analytic calculation of two-electron integrals requires at most N^4 operations if N is the number of primitive functions.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Very significant speed improvements can be obtained from the numerical fitting of each integral to appropriate functions. Instead of performing N^4 calculations only a few function evaluations are required, depending on the expansion chosen. The speed gained from using the fitting procedure imply a loss of flexibility in the choice of the basis set since all two-electron integrals need to be pre-calculated.</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This technology has been developed initially as a proof-of-concept for the STO-6G basis set. The accuracy and speed of the approximations will be tested on large carbon nanotubes. Development of this work will bring new </w:t>
                  </w:r>
                  <w:r w:rsidRPr="0005639F">
                    <w:rPr>
                      <w:rFonts w:ascii="Times New Roman" w:eastAsia="Times New Roman" w:hAnsi="Times New Roman" w:cs="Times New Roman"/>
                      <w:sz w:val="20"/>
                      <w:szCs w:val="20"/>
                    </w:rPr>
                    <w:lastRenderedPageBreak/>
                    <w:t>advances to computational quantum chemistry allowing the study of new scientific fields.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2289788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Benjamin Martin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Lewis Rothberg</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of Rochester Dept of Chem, Rochester, NY, United States. </w:t>
                  </w:r>
                  <w:r w:rsidRPr="0005639F">
                    <w:rPr>
                      <w:rFonts w:ascii="Times New Roman" w:eastAsia="Times New Roman" w:hAnsi="Times New Roman" w:cs="Times New Roman"/>
                      <w:sz w:val="20"/>
                      <w:szCs w:val="20"/>
                    </w:rPr>
                    <w:br/>
                    <w:t xml:space="preserve">2. Chemistry, University of Rochester, Rochester,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1" w:anchor="2289788" w:history="1">
                    <w:r w:rsidRPr="0005639F">
                      <w:rPr>
                        <w:rFonts w:ascii="Times New Roman" w:eastAsia="Times New Roman" w:hAnsi="Times New Roman" w:cs="Times New Roman"/>
                        <w:color w:val="0000FF"/>
                        <w:sz w:val="20"/>
                        <w:szCs w:val="20"/>
                        <w:u w:val="single"/>
                      </w:rPr>
                      <w:t>Suprising oxygen effects on the photophysics of conjugated polymers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It is widely accepted that the presence of oxygen has important effects on conjugated polymer (CP) photophysics. The most drastic of these is the irreversible formation of high electron affinity sites that quench the polymer photoluminescence (PL). </w:t>
                  </w:r>
                  <w:r w:rsidRPr="0005639F">
                    <w:rPr>
                      <w:rFonts w:ascii="Times New Roman" w:eastAsia="Times New Roman" w:hAnsi="Times New Roman" w:cs="Times New Roman"/>
                      <w:sz w:val="20"/>
                      <w:szCs w:val="20"/>
                      <w:vertAlign w:val="superscript"/>
                    </w:rPr>
                    <w:t xml:space="preserve">1,2 </w:t>
                  </w:r>
                  <w:r w:rsidRPr="0005639F">
                    <w:rPr>
                      <w:rFonts w:ascii="Times New Roman" w:eastAsia="Times New Roman" w:hAnsi="Times New Roman" w:cs="Times New Roman"/>
                      <w:sz w:val="20"/>
                      <w:szCs w:val="20"/>
                    </w:rPr>
                    <w:t xml:space="preserve">There is also some work suggesting the formation of reversible charge transfer states that quench luminescence. </w:t>
                  </w:r>
                  <w:r w:rsidRPr="0005639F">
                    <w:rPr>
                      <w:rFonts w:ascii="Times New Roman" w:eastAsia="Times New Roman" w:hAnsi="Times New Roman" w:cs="Times New Roman"/>
                      <w:sz w:val="20"/>
                      <w:szCs w:val="20"/>
                      <w:vertAlign w:val="superscript"/>
                    </w:rPr>
                    <w:t>3,4</w:t>
                  </w:r>
                  <w:r w:rsidRPr="0005639F">
                    <w:rPr>
                      <w:rFonts w:ascii="Times New Roman" w:eastAsia="Times New Roman" w:hAnsi="Times New Roman" w:cs="Times New Roman"/>
                      <w:sz w:val="20"/>
                      <w:szCs w:val="20"/>
                    </w:rPr>
                    <w:t xml:space="preserve"> These oxygen charge transfer sites are thought to be responsible for the “blinking” behavior in individual polymer chain spectroscopy when those chains are sufficiently folded to allow efficient energy transfer to a reversibly quenched “funnel” location. As a consequence, the prospective PL from hundreds of chromophores can be suppressed.</w:t>
                  </w:r>
                  <w:r w:rsidRPr="0005639F">
                    <w:rPr>
                      <w:rFonts w:ascii="Times New Roman" w:eastAsia="Times New Roman" w:hAnsi="Times New Roman" w:cs="Times New Roman"/>
                      <w:sz w:val="20"/>
                      <w:szCs w:val="20"/>
                      <w:vertAlign w:val="superscript"/>
                    </w:rPr>
                    <w:t>5</w:t>
                  </w:r>
                  <w:r w:rsidRPr="0005639F">
                    <w:rPr>
                      <w:rFonts w:ascii="Times New Roman" w:eastAsia="Times New Roman" w:hAnsi="Times New Roman" w:cs="Times New Roman"/>
                      <w:sz w:val="20"/>
                      <w:szCs w:val="20"/>
                    </w:rPr>
                    <w:t xml:space="preserve"> We have observed a very different and surprising effect that photooxidation can have on conjugated polymer chains, the modulation of energy transfer that triggers an </w:t>
                  </w:r>
                  <w:r w:rsidRPr="0005639F">
                    <w:rPr>
                      <w:rFonts w:ascii="Times New Roman" w:eastAsia="Times New Roman" w:hAnsi="Times New Roman" w:cs="Times New Roman"/>
                      <w:i/>
                      <w:iCs/>
                      <w:sz w:val="20"/>
                      <w:szCs w:val="20"/>
                    </w:rPr>
                    <w:t>increase</w:t>
                  </w:r>
                  <w:r w:rsidRPr="0005639F">
                    <w:rPr>
                      <w:rFonts w:ascii="Times New Roman" w:eastAsia="Times New Roman" w:hAnsi="Times New Roman" w:cs="Times New Roman"/>
                      <w:sz w:val="20"/>
                      <w:szCs w:val="20"/>
                    </w:rPr>
                    <w:t xml:space="preserve"> in PL quantum efficiency. This change in the energy transfer topography creates extremely large spikes in the PL that we describe as “flaring”. The traditional held picture describing 2 types of chromophores in a CP chain does not explain our observations satisfactorily.</w:t>
                  </w:r>
                  <w:r w:rsidRPr="0005639F">
                    <w:rPr>
                      <w:rFonts w:ascii="Times New Roman" w:eastAsia="Times New Roman" w:hAnsi="Times New Roman" w:cs="Times New Roman"/>
                      <w:sz w:val="20"/>
                      <w:szCs w:val="20"/>
                      <w:vertAlign w:val="superscript"/>
                    </w:rPr>
                    <w:t>3,6</w:t>
                  </w:r>
                  <w:r w:rsidRPr="0005639F">
                    <w:rPr>
                      <w:rFonts w:ascii="Times New Roman" w:eastAsia="Times New Roman" w:hAnsi="Times New Roman" w:cs="Times New Roman"/>
                      <w:sz w:val="20"/>
                      <w:szCs w:val="20"/>
                    </w:rPr>
                    <w:t xml:space="preserve"> We conclude that the presence of a third very low energy weakly emissive chromophore is necessary to explain our findings and are able to document the properties of those chromophores as well. Our hypothesis can explain other phenomena seen in CPs like the reduction of PL quantum efficiency with increasing molecular weight.</w:t>
                  </w:r>
                  <w:r w:rsidRPr="0005639F">
                    <w:rPr>
                      <w:rFonts w:ascii="Times New Roman" w:eastAsia="Times New Roman" w:hAnsi="Times New Roman" w:cs="Times New Roman"/>
                      <w:sz w:val="20"/>
                      <w:szCs w:val="20"/>
                      <w:vertAlign w:val="superscript"/>
                    </w:rPr>
                    <w:t>7</w:t>
                  </w:r>
                  <w:r w:rsidRPr="0005639F">
                    <w:rPr>
                      <w:rFonts w:ascii="Times New Roman" w:eastAsia="Times New Roman" w:hAnsi="Times New Roman" w:cs="Times New Roman"/>
                      <w:sz w:val="20"/>
                      <w:szCs w:val="20"/>
                    </w:rPr>
                    <w:t xml:space="preserve"> Selective photobleaching of the weakly emissive chromophore results in a large fold increase in PL from single polymer chains as well as a reduction in their PL fluctuations.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b/>
                      <w:bCs/>
                      <w:sz w:val="20"/>
                      <w:szCs w:val="20"/>
                      <w:u w:val="single"/>
                    </w:rPr>
                    <w:t>References:</w:t>
                  </w:r>
                  <w:r w:rsidRPr="0005639F">
                    <w:rPr>
                      <w:rFonts w:ascii="Times New Roman" w:eastAsia="Times New Roman" w:hAnsi="Times New Roman" w:cs="Times New Roman"/>
                      <w:sz w:val="20"/>
                      <w:szCs w:val="20"/>
                    </w:rPr>
                    <w:br/>
                    <w:t>1. Yan, M.; Rothberg, L.; Papadimitrakopoulos, F.; Galvin, M.; Miller, T.</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i/>
                      <w:iCs/>
                      <w:sz w:val="20"/>
                      <w:szCs w:val="20"/>
                    </w:rPr>
                    <w:t>Phys. Rev. Lett.</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1994</w:t>
                  </w:r>
                  <w:r w:rsidRPr="0005639F">
                    <w:rPr>
                      <w:rFonts w:ascii="Times New Roman" w:eastAsia="Times New Roman" w:hAnsi="Times New Roman" w:cs="Times New Roman"/>
                      <w:sz w:val="20"/>
                      <w:szCs w:val="20"/>
                    </w:rPr>
                    <w:t>, 73, 744 –</w:t>
                  </w:r>
                  <w:r w:rsidRPr="0005639F">
                    <w:rPr>
                      <w:rFonts w:ascii="Times New Roman" w:eastAsia="Times New Roman" w:hAnsi="Times New Roman" w:cs="Times New Roman"/>
                      <w:sz w:val="20"/>
                      <w:szCs w:val="20"/>
                    </w:rPr>
                    <w:br/>
                    <w:t xml:space="preserve">2.Bradley, D.; Friend, R. </w:t>
                  </w:r>
                  <w:r w:rsidRPr="0005639F">
                    <w:rPr>
                      <w:rFonts w:ascii="Times New Roman" w:eastAsia="Times New Roman" w:hAnsi="Times New Roman" w:cs="Times New Roman"/>
                      <w:i/>
                      <w:iCs/>
                      <w:sz w:val="20"/>
                      <w:szCs w:val="20"/>
                    </w:rPr>
                    <w:t>J. Phys.: Condens. Matter</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 xml:space="preserve">1989, </w:t>
                  </w:r>
                  <w:r w:rsidRPr="0005639F">
                    <w:rPr>
                      <w:rFonts w:ascii="Times New Roman" w:eastAsia="Times New Roman" w:hAnsi="Times New Roman" w:cs="Times New Roman"/>
                      <w:sz w:val="20"/>
                      <w:szCs w:val="20"/>
                    </w:rPr>
                    <w:t>1, 3671-3678</w:t>
                  </w:r>
                  <w:r w:rsidRPr="0005639F">
                    <w:rPr>
                      <w:rFonts w:ascii="Times New Roman" w:eastAsia="Times New Roman" w:hAnsi="Times New Roman" w:cs="Times New Roman"/>
                      <w:sz w:val="20"/>
                      <w:szCs w:val="20"/>
                    </w:rPr>
                    <w:br/>
                    <w:t xml:space="preserve">3. Bout et al., </w:t>
                  </w:r>
                  <w:r w:rsidRPr="0005639F">
                    <w:rPr>
                      <w:rFonts w:ascii="Times New Roman" w:eastAsia="Times New Roman" w:hAnsi="Times New Roman" w:cs="Times New Roman"/>
                      <w:i/>
                      <w:iCs/>
                      <w:sz w:val="20"/>
                      <w:szCs w:val="20"/>
                    </w:rPr>
                    <w:t xml:space="preserve">Science. </w:t>
                  </w:r>
                  <w:r w:rsidRPr="0005639F">
                    <w:rPr>
                      <w:rFonts w:ascii="Times New Roman" w:eastAsia="Times New Roman" w:hAnsi="Times New Roman" w:cs="Times New Roman"/>
                      <w:b/>
                      <w:bCs/>
                      <w:sz w:val="20"/>
                      <w:szCs w:val="20"/>
                    </w:rPr>
                    <w:t>1997</w:t>
                  </w:r>
                  <w:r w:rsidRPr="0005639F">
                    <w:rPr>
                      <w:rFonts w:ascii="Times New Roman" w:eastAsia="Times New Roman" w:hAnsi="Times New Roman" w:cs="Times New Roman"/>
                      <w:sz w:val="20"/>
                      <w:szCs w:val="20"/>
                    </w:rPr>
                    <w:t>, 277, 1074-1077</w:t>
                  </w:r>
                  <w:r w:rsidRPr="0005639F">
                    <w:rPr>
                      <w:rFonts w:ascii="Times New Roman" w:eastAsia="Times New Roman" w:hAnsi="Times New Roman" w:cs="Times New Roman"/>
                      <w:sz w:val="20"/>
                      <w:szCs w:val="20"/>
                    </w:rPr>
                    <w:br/>
                    <w:t xml:space="preserve">4. Abdou, S.; et al. </w:t>
                  </w:r>
                  <w:r w:rsidRPr="0005639F">
                    <w:rPr>
                      <w:rFonts w:ascii="Times New Roman" w:eastAsia="Times New Roman" w:hAnsi="Times New Roman" w:cs="Times New Roman"/>
                      <w:i/>
                      <w:iCs/>
                      <w:sz w:val="20"/>
                      <w:szCs w:val="20"/>
                    </w:rPr>
                    <w:t>J. Am. Chem. Soc.,</w:t>
                  </w:r>
                  <w:r w:rsidRPr="0005639F">
                    <w:rPr>
                      <w:rFonts w:ascii="Times New Roman" w:eastAsia="Times New Roman" w:hAnsi="Times New Roman" w:cs="Times New Roman"/>
                      <w:sz w:val="20"/>
                      <w:szCs w:val="20"/>
                    </w:rPr>
                    <w:t xml:space="preserve"> 1997, 119 (19), 4518–4524</w:t>
                  </w:r>
                  <w:r w:rsidRPr="0005639F">
                    <w:rPr>
                      <w:rFonts w:ascii="Times New Roman" w:eastAsia="Times New Roman" w:hAnsi="Times New Roman" w:cs="Times New Roman"/>
                      <w:sz w:val="20"/>
                      <w:szCs w:val="20"/>
                    </w:rPr>
                    <w:br/>
                    <w:t xml:space="preserve">5. Yu, J.; Hu, D.; Barbara, P. </w:t>
                  </w:r>
                  <w:r w:rsidRPr="0005639F">
                    <w:rPr>
                      <w:rFonts w:ascii="Times New Roman" w:eastAsia="Times New Roman" w:hAnsi="Times New Roman" w:cs="Times New Roman"/>
                      <w:i/>
                      <w:iCs/>
                      <w:sz w:val="20"/>
                      <w:szCs w:val="20"/>
                    </w:rPr>
                    <w:t>Science</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2000</w:t>
                  </w:r>
                  <w:r w:rsidRPr="0005639F">
                    <w:rPr>
                      <w:rFonts w:ascii="Times New Roman" w:eastAsia="Times New Roman" w:hAnsi="Times New Roman" w:cs="Times New Roman"/>
                      <w:sz w:val="20"/>
                      <w:szCs w:val="20"/>
                    </w:rPr>
                    <w:t>, 289 (5483), 1327-1330</w:t>
                  </w:r>
                  <w:r w:rsidRPr="0005639F">
                    <w:rPr>
                      <w:rFonts w:ascii="Times New Roman" w:eastAsia="Times New Roman" w:hAnsi="Times New Roman" w:cs="Times New Roman"/>
                      <w:sz w:val="20"/>
                      <w:szCs w:val="20"/>
                    </w:rPr>
                    <w:br/>
                    <w:t xml:space="preserve">6. Collison, C.; Rothberg, L.; Treemaneekarn, V.; Li, Y. </w:t>
                  </w:r>
                  <w:r w:rsidRPr="0005639F">
                    <w:rPr>
                      <w:rFonts w:ascii="Times New Roman" w:eastAsia="Times New Roman" w:hAnsi="Times New Roman" w:cs="Times New Roman"/>
                      <w:i/>
                      <w:iCs/>
                      <w:sz w:val="20"/>
                      <w:szCs w:val="20"/>
                    </w:rPr>
                    <w:t>Macromolecules</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2001</w:t>
                  </w:r>
                  <w:r w:rsidRPr="0005639F">
                    <w:rPr>
                      <w:rFonts w:ascii="Times New Roman" w:eastAsia="Times New Roman" w:hAnsi="Times New Roman" w:cs="Times New Roman"/>
                      <w:sz w:val="20"/>
                      <w:szCs w:val="20"/>
                    </w:rPr>
                    <w:t>, 34, 2346</w:t>
                  </w:r>
                  <w:r w:rsidRPr="0005639F">
                    <w:rPr>
                      <w:rFonts w:ascii="Times New Roman" w:eastAsia="Times New Roman" w:hAnsi="Times New Roman" w:cs="Times New Roman"/>
                      <w:sz w:val="20"/>
                      <w:szCs w:val="20"/>
                    </w:rPr>
                    <w:br/>
                    <w:t xml:space="preserve">7. Lin, H.; et al. </w:t>
                  </w:r>
                  <w:r w:rsidRPr="0005639F">
                    <w:rPr>
                      <w:rFonts w:ascii="Times New Roman" w:eastAsia="Times New Roman" w:hAnsi="Times New Roman" w:cs="Times New Roman"/>
                      <w:i/>
                      <w:iCs/>
                      <w:sz w:val="20"/>
                      <w:szCs w:val="20"/>
                    </w:rPr>
                    <w:t>Nano Lett.,</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2009</w:t>
                  </w:r>
                  <w:r w:rsidRPr="0005639F">
                    <w:rPr>
                      <w:rFonts w:ascii="Times New Roman" w:eastAsia="Times New Roman" w:hAnsi="Times New Roman" w:cs="Times New Roman"/>
                      <w:sz w:val="20"/>
                      <w:szCs w:val="20"/>
                    </w:rPr>
                    <w:t>, 9 (12), 4456–4461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2289853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Jingbai Li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Andrey Y. Rogachev</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Biological and Chemical Sciences, Illinois Institute of Technology, Oak Park, IL,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2" w:anchor="2289853" w:history="1">
                    <w:r w:rsidRPr="0005639F">
                      <w:rPr>
                        <w:rFonts w:ascii="Times New Roman" w:eastAsia="Times New Roman" w:hAnsi="Times New Roman" w:cs="Times New Roman"/>
                        <w:color w:val="0000FF"/>
                        <w:sz w:val="20"/>
                        <w:szCs w:val="20"/>
                        <w:u w:val="single"/>
                      </w:rPr>
                      <w:t>Theoretical Insights into the I</w:t>
                    </w:r>
                    <w:r w:rsidRPr="0005639F">
                      <w:rPr>
                        <w:rFonts w:ascii="Times New Roman" w:eastAsia="Times New Roman" w:hAnsi="Times New Roman" w:cs="Times New Roman"/>
                        <w:color w:val="0000FF"/>
                        <w:sz w:val="20"/>
                        <w:szCs w:val="20"/>
                        <w:u w:val="single"/>
                        <w:vertAlign w:val="subscript"/>
                      </w:rPr>
                      <w:t xml:space="preserve">2 </w:t>
                    </w:r>
                    <w:r w:rsidRPr="0005639F">
                      <w:rPr>
                        <w:rFonts w:ascii="Times New Roman" w:eastAsia="Times New Roman" w:hAnsi="Times New Roman" w:cs="Times New Roman"/>
                        <w:color w:val="0000FF"/>
                        <w:sz w:val="20"/>
                        <w:szCs w:val="20"/>
                        <w:u w:val="single"/>
                      </w:rPr>
                      <w:t>– π-Arene Interactions: From Planar to Curve Polyaromatic systems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Adducts of polyaromatic molecules with dihalogens are known for long time. However, structural studies of such systems are still very rare due to low stability, which makes theoretical modeling a very suitable, if not only possible, tool for getting insights into their electronic structure and bonding. Here, we present the first systematic theoretical investigation of adducts of the 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as primary model with a number of π-ligands having isolated unsaturated carbon-carbon bonds (acethylene and ethylene) or delocalized π-systems with planar (such as benzene, naphthalene, coronene, </w:t>
                  </w:r>
                  <w:r w:rsidRPr="0005639F">
                    <w:rPr>
                      <w:rFonts w:ascii="Times New Roman" w:eastAsia="Times New Roman" w:hAnsi="Times New Roman" w:cs="Times New Roman"/>
                      <w:i/>
                      <w:iCs/>
                      <w:sz w:val="20"/>
                      <w:szCs w:val="20"/>
                    </w:rPr>
                    <w:t>etc</w:t>
                  </w:r>
                  <w:r w:rsidRPr="0005639F">
                    <w:rPr>
                      <w:rFonts w:ascii="Times New Roman" w:eastAsia="Times New Roman" w:hAnsi="Times New Roman" w:cs="Times New Roman"/>
                      <w:sz w:val="20"/>
                      <w:szCs w:val="20"/>
                    </w:rPr>
                    <w:t>.) or curved topology (corannulene), including C</w:t>
                  </w:r>
                  <w:r w:rsidRPr="0005639F">
                    <w:rPr>
                      <w:rFonts w:ascii="Times New Roman" w:eastAsia="Times New Roman" w:hAnsi="Times New Roman" w:cs="Times New Roman"/>
                      <w:sz w:val="20"/>
                      <w:szCs w:val="20"/>
                      <w:vertAlign w:val="subscript"/>
                    </w:rPr>
                    <w:t>60</w:t>
                  </w:r>
                  <w:r w:rsidRPr="0005639F">
                    <w:rPr>
                      <w:rFonts w:ascii="Times New Roman" w:eastAsia="Times New Roman" w:hAnsi="Times New Roman" w:cs="Times New Roman"/>
                      <w:sz w:val="20"/>
                      <w:szCs w:val="20"/>
                    </w:rPr>
                    <w:t>-fullerene. The effect of size, geometry, site specificity, and curvature of π-ligands on their interaction energy with 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has been examined. Previously, the 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molecule was found to be isolobal with paddle-wheel complex [Rh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CCF</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which is known to be a Lewis acid and its reactivity towards unsaturated hydrocarbons was established. In the present research, we demonstrate that 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behaves in essentially the same way as Rh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xml:space="preserve"> core in reactions with π-arene systems, showing strong tendency in formation of η​</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-adducts. The primary analytical tool utilized is perturbation theory within the NBO framework, supported by energy decomposition analysis. Results obtained revealed that I</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molecule works as pure acceptor through its σ</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(I-I) orbital, whereas π-arene systems play the role of a donors.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2292468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Akbar Mahdavi-Shakib</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James Clark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Francois G. Amar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Brian G. Frederick</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of Maine, Orono, ME, United States. </w:t>
                  </w:r>
                  <w:r w:rsidRPr="0005639F">
                    <w:rPr>
                      <w:rFonts w:ascii="Times New Roman" w:eastAsia="Times New Roman" w:hAnsi="Times New Roman" w:cs="Times New Roman"/>
                      <w:sz w:val="20"/>
                      <w:szCs w:val="20"/>
                    </w:rPr>
                    <w:br/>
                    <w:t xml:space="preserve">2. Dept of Chemistry, University of Maine, Orono, ME,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3" w:anchor="2292468" w:history="1">
                    <w:r w:rsidRPr="0005639F">
                      <w:rPr>
                        <w:rFonts w:ascii="Times New Roman" w:eastAsia="Times New Roman" w:hAnsi="Times New Roman" w:cs="Times New Roman"/>
                        <w:b/>
                        <w:bCs/>
                        <w:color w:val="0000FF"/>
                        <w:sz w:val="20"/>
                        <w:szCs w:val="20"/>
                        <w:u w:val="single"/>
                      </w:rPr>
                      <w:t>Surface Acidity of Tungsten Oxide Bronzes in the Hydrodeoxygenation Mechanism</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Growing energy demand, depletion of oil reserves, and global warming motivate the development of alternative energy sources. Biomass is a sustainable and green energy source which could be converted to transportation fuels through fast pyrolysis. Recent process development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has led to bio-oils that do not have the undesirable properties of conventional bio-oils, which had high oxygen content, poor heating value, high viscosity, and corrosiveness</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Several classes of compounds are currently being explored to remove oxygen via Hydrodeoxygenation (HDO).</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Recent work has shown that reduced tungsten oxide bronzes are highly efficient for hydrogenation of acrolein and deoxygenation of allyl alcohol,</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xml:space="preserve"> and DFT calculations were used to propose a surface reaction mechanism on Mo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9</w:t>
                  </w:r>
                  <w:r w:rsidRPr="0005639F">
                    <w:rPr>
                      <w:rFonts w:ascii="Times New Roman" w:eastAsia="Times New Roman" w:hAnsi="Times New Roman" w:cs="Times New Roman"/>
                      <w:sz w:val="20"/>
                      <w:szCs w:val="20"/>
                    </w:rPr>
                    <w:t xml:space="preserve"> and W</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9</w:t>
                  </w:r>
                  <w:r w:rsidRPr="0005639F">
                    <w:rPr>
                      <w:rFonts w:ascii="Times New Roman" w:eastAsia="Times New Roman" w:hAnsi="Times New Roman" w:cs="Times New Roman"/>
                      <w:sz w:val="20"/>
                      <w:szCs w:val="20"/>
                    </w:rPr>
                    <w:t xml:space="preserve"> clusters.</w:t>
                  </w:r>
                  <w:r w:rsidRPr="0005639F">
                    <w:rPr>
                      <w:rFonts w:ascii="Times New Roman" w:eastAsia="Times New Roman" w:hAnsi="Times New Roman" w:cs="Times New Roman"/>
                      <w:sz w:val="20"/>
                      <w:szCs w:val="20"/>
                      <w:vertAlign w:val="superscript"/>
                    </w:rPr>
                    <w:t>5,6</w:t>
                  </w:r>
                  <w:r w:rsidRPr="0005639F">
                    <w:rPr>
                      <w:rFonts w:ascii="Times New Roman" w:eastAsia="Times New Roman" w:hAnsi="Times New Roman" w:cs="Times New Roman"/>
                      <w:sz w:val="20"/>
                      <w:szCs w:val="20"/>
                    </w:rPr>
                    <w:t>. The proposed mechanism involves both Brönsted and Lewis acid sites, but no direct experimental measurements exist to monitor the acid sites during bronze formation and under catalytic reaction conditions. We use ammonia and pyridine adsorption to characterize the type, strength, and density of acid sites using a combination of DRIFTS, thermal desorption, and DFT calculations. We find the Brønsted to Lewis acid ratio increases with pretreatment temperature during bronze formation in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We will discuss the role of these sites in controlling the reactivity of HDO reactions over tungsten oxide bronzes.</w:t>
                  </w:r>
                  <w:r w:rsidRPr="0005639F">
                    <w:rPr>
                      <w:rFonts w:ascii="Times New Roman" w:eastAsia="Times New Roman" w:hAnsi="Times New Roman" w:cs="Times New Roman"/>
                      <w:sz w:val="20"/>
                      <w:szCs w:val="20"/>
                    </w:rPr>
                    <w:br/>
                    <w:t xml:space="preserve">(1) Case, P. A.; Wheeler, C. M.; DeSisto, W., J. </w:t>
                  </w:r>
                  <w:r w:rsidRPr="0005639F">
                    <w:rPr>
                      <w:rFonts w:ascii="Times New Roman" w:eastAsia="Times New Roman" w:hAnsi="Times New Roman" w:cs="Times New Roman"/>
                      <w:i/>
                      <w:iCs/>
                      <w:sz w:val="20"/>
                      <w:szCs w:val="20"/>
                    </w:rPr>
                    <w:t>Energy &amp; Fuels</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2014</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28</w:t>
                  </w:r>
                  <w:r w:rsidRPr="0005639F">
                    <w:rPr>
                      <w:rFonts w:ascii="Times New Roman" w:eastAsia="Times New Roman" w:hAnsi="Times New Roman" w:cs="Times New Roman"/>
                      <w:sz w:val="20"/>
                      <w:szCs w:val="20"/>
                    </w:rPr>
                    <w:t>, 3964-3969.</w:t>
                  </w:r>
                  <w:r w:rsidRPr="0005639F">
                    <w:rPr>
                      <w:rFonts w:ascii="Times New Roman" w:eastAsia="Times New Roman" w:hAnsi="Times New Roman" w:cs="Times New Roman"/>
                      <w:sz w:val="20"/>
                      <w:szCs w:val="20"/>
                    </w:rPr>
                    <w:br/>
                    <w:t xml:space="preserve">(2) Mortensen, P. M.; Grunwaldt, J.-D.; Jensen, P. A.; Knudsen, K. G.; Jensen, A. D. </w:t>
                  </w:r>
                  <w:r w:rsidRPr="0005639F">
                    <w:rPr>
                      <w:rFonts w:ascii="Times New Roman" w:eastAsia="Times New Roman" w:hAnsi="Times New Roman" w:cs="Times New Roman"/>
                      <w:i/>
                      <w:iCs/>
                      <w:sz w:val="20"/>
                      <w:szCs w:val="20"/>
                    </w:rPr>
                    <w:t>Appl. Catal. A</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407</w:t>
                  </w:r>
                  <w:r w:rsidRPr="0005639F">
                    <w:rPr>
                      <w:rFonts w:ascii="Times New Roman" w:eastAsia="Times New Roman" w:hAnsi="Times New Roman" w:cs="Times New Roman"/>
                      <w:sz w:val="20"/>
                      <w:szCs w:val="20"/>
                    </w:rPr>
                    <w:t>, 1-</w:t>
                  </w:r>
                  <w:r w:rsidRPr="0005639F">
                    <w:rPr>
                      <w:rFonts w:ascii="Times New Roman" w:eastAsia="Times New Roman" w:hAnsi="Times New Roman" w:cs="Times New Roman"/>
                      <w:sz w:val="20"/>
                      <w:szCs w:val="20"/>
                    </w:rPr>
                    <w:lastRenderedPageBreak/>
                    <w:t>19.</w:t>
                  </w:r>
                  <w:r w:rsidRPr="0005639F">
                    <w:rPr>
                      <w:rFonts w:ascii="Times New Roman" w:eastAsia="Times New Roman" w:hAnsi="Times New Roman" w:cs="Times New Roman"/>
                      <w:sz w:val="20"/>
                      <w:szCs w:val="20"/>
                    </w:rPr>
                    <w:br/>
                    <w:t xml:space="preserve">(3) Hicks, J. C. </w:t>
                  </w:r>
                  <w:r w:rsidRPr="0005639F">
                    <w:rPr>
                      <w:rFonts w:ascii="Times New Roman" w:eastAsia="Times New Roman" w:hAnsi="Times New Roman" w:cs="Times New Roman"/>
                      <w:i/>
                      <w:iCs/>
                      <w:sz w:val="20"/>
                      <w:szCs w:val="20"/>
                    </w:rPr>
                    <w:t>J.Phys. Chem. Lett.</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2</w:t>
                  </w:r>
                  <w:r w:rsidRPr="0005639F">
                    <w:rPr>
                      <w:rFonts w:ascii="Times New Roman" w:eastAsia="Times New Roman" w:hAnsi="Times New Roman" w:cs="Times New Roman"/>
                      <w:sz w:val="20"/>
                      <w:szCs w:val="20"/>
                    </w:rPr>
                    <w:t>, 2280-2287.</w:t>
                  </w:r>
                  <w:r w:rsidRPr="0005639F">
                    <w:rPr>
                      <w:rFonts w:ascii="Times New Roman" w:eastAsia="Times New Roman" w:hAnsi="Times New Roman" w:cs="Times New Roman"/>
                      <w:sz w:val="20"/>
                      <w:szCs w:val="20"/>
                    </w:rPr>
                    <w:br/>
                    <w:t xml:space="preserve">(4) Thibodeau, T. J.; DeSisto, W. J.; Wheeler, M. C.; Frederick, B. G. </w:t>
                  </w:r>
                  <w:r w:rsidRPr="0005639F">
                    <w:rPr>
                      <w:rFonts w:ascii="Times New Roman" w:eastAsia="Times New Roman" w:hAnsi="Times New Roman" w:cs="Times New Roman"/>
                      <w:i/>
                      <w:iCs/>
                      <w:sz w:val="20"/>
                      <w:szCs w:val="20"/>
                    </w:rPr>
                    <w:t>Appl. Catal.A</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2010</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388</w:t>
                  </w:r>
                  <w:r w:rsidRPr="0005639F">
                    <w:rPr>
                      <w:rFonts w:ascii="Times New Roman" w:eastAsia="Times New Roman" w:hAnsi="Times New Roman" w:cs="Times New Roman"/>
                      <w:sz w:val="20"/>
                      <w:szCs w:val="20"/>
                    </w:rPr>
                    <w:t>, 86-95.</w:t>
                  </w:r>
                  <w:r w:rsidRPr="0005639F">
                    <w:rPr>
                      <w:rFonts w:ascii="Times New Roman" w:eastAsia="Times New Roman" w:hAnsi="Times New Roman" w:cs="Times New Roman"/>
                      <w:sz w:val="20"/>
                      <w:szCs w:val="20"/>
                    </w:rPr>
                    <w:br/>
                    <w:t xml:space="preserve">(5) Moberg, D. R.; Thibodeau, T. J.; Amar, F. G.; Frederick, B. G. </w:t>
                  </w:r>
                  <w:r w:rsidRPr="0005639F">
                    <w:rPr>
                      <w:rFonts w:ascii="Times New Roman" w:eastAsia="Times New Roman" w:hAnsi="Times New Roman" w:cs="Times New Roman"/>
                      <w:i/>
                      <w:iCs/>
                      <w:sz w:val="20"/>
                      <w:szCs w:val="20"/>
                    </w:rPr>
                    <w:t>J. Phys. Chem. C</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2010</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114</w:t>
                  </w:r>
                  <w:r w:rsidRPr="0005639F">
                    <w:rPr>
                      <w:rFonts w:ascii="Times New Roman" w:eastAsia="Times New Roman" w:hAnsi="Times New Roman" w:cs="Times New Roman"/>
                      <w:sz w:val="20"/>
                      <w:szCs w:val="20"/>
                    </w:rPr>
                    <w:t>, 13782-13795.</w:t>
                  </w:r>
                  <w:r w:rsidRPr="0005639F">
                    <w:rPr>
                      <w:rFonts w:ascii="Times New Roman" w:eastAsia="Times New Roman" w:hAnsi="Times New Roman" w:cs="Times New Roman"/>
                      <w:sz w:val="20"/>
                      <w:szCs w:val="20"/>
                    </w:rPr>
                    <w:br/>
                    <w:t xml:space="preserve">(6) Thibodeau, T. J.; Goodwin, C.; Amar, F. G.; Frederick, B. G. </w:t>
                  </w:r>
                  <w:r w:rsidRPr="0005639F">
                    <w:rPr>
                      <w:rFonts w:ascii="Times New Roman" w:eastAsia="Times New Roman" w:hAnsi="Times New Roman" w:cs="Times New Roman"/>
                      <w:i/>
                      <w:iCs/>
                      <w:sz w:val="20"/>
                      <w:szCs w:val="20"/>
                    </w:rPr>
                    <w:t>J. Phys. Chem. C</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b/>
                      <w:bCs/>
                      <w:sz w:val="20"/>
                      <w:szCs w:val="20"/>
                    </w:rPr>
                    <w:t>2015</w:t>
                  </w:r>
                  <w:r w:rsidRPr="0005639F">
                    <w:rPr>
                      <w:rFonts w:ascii="Times New Roman" w:eastAsia="Times New Roman" w:hAnsi="Times New Roman" w:cs="Times New Roman"/>
                      <w:sz w:val="20"/>
                      <w:szCs w:val="20"/>
                    </w:rPr>
                    <w:t>, (in prep).</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2233563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Patrick Cost</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Christopher Collison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Jeremy A. Cody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Chenyu Zheng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Ishita Jalan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Brandon Cona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School of Chemistry and Materials Science, Rochester Inst of Technology, Rochester, NY, United States. </w:t>
                  </w:r>
                  <w:r w:rsidRPr="0005639F">
                    <w:rPr>
                      <w:rFonts w:ascii="Times New Roman" w:eastAsia="Times New Roman" w:hAnsi="Times New Roman" w:cs="Times New Roman"/>
                      <w:sz w:val="20"/>
                      <w:szCs w:val="20"/>
                    </w:rPr>
                    <w:br/>
                    <w:t xml:space="preserve">2. Chemistry, Rochester Institute of Technology, Marcellus,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4" w:anchor="2233563" w:history="1">
                    <w:r w:rsidRPr="0005639F">
                      <w:rPr>
                        <w:rFonts w:ascii="Times New Roman" w:eastAsia="Times New Roman" w:hAnsi="Times New Roman" w:cs="Times New Roman"/>
                        <w:color w:val="0000FF"/>
                        <w:sz w:val="20"/>
                        <w:szCs w:val="20"/>
                        <w:u w:val="single"/>
                      </w:rPr>
                      <w:t>Synthesis and Application of Squaraines Targeted for Organic Photovoltaics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Squaraines are a class of small molecules enthusiastically investigated for organic photovoltaics (OPV) along with other applications such as bio-imaging and photo dynamic therapy. The choice of side group has a surprising influence over the packing and aggregation of these molecules in the solid state active layer of a target device. Two new squaraine molecules with bulky aniline alkyl groups were synthesized with and without stabilizing hydroxyl groups hydrogen bonded to the central C4O2 group. The goal of the work was to understand the relative influence of the hydroxyl groups and R-groups towards the packing as it influences device efficiency. The molecules were characterized for UV-VIS absorption and fluorescence in a variety of blends with PCBM in a variety of different morphologies, controlled through annealing. Changes in device efficiencies were correlated with this spectroscopic data. We will present an overview of synthesis, characterization, experimental validation of modeling results and device data. We will put forward a description as to how the functionalization of the squaraine influences the efficiency of the device through mechanistic interpretations.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2262764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Philip Malley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Tara F. Kahan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University, Syracuse, NY, United States. </w:t>
                  </w:r>
                  <w:r w:rsidRPr="0005639F">
                    <w:rPr>
                      <w:rFonts w:ascii="Times New Roman" w:eastAsia="Times New Roman" w:hAnsi="Times New Roman" w:cs="Times New Roman"/>
                      <w:sz w:val="20"/>
                      <w:szCs w:val="20"/>
                    </w:rPr>
                    <w:br/>
                    <w:t xml:space="preserve">2.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5" w:anchor="2262764" w:history="1">
                    <w:r w:rsidRPr="0005639F">
                      <w:rPr>
                        <w:rFonts w:ascii="Times New Roman" w:eastAsia="Times New Roman" w:hAnsi="Times New Roman" w:cs="Times New Roman"/>
                        <w:color w:val="0000FF"/>
                        <w:sz w:val="20"/>
                        <w:szCs w:val="20"/>
                        <w:u w:val="single"/>
                      </w:rPr>
                      <w:t xml:space="preserve">Effects of Organic Matter on Polycyclic Aromatic Hydrocarbon Photolysis Kinetics in Ice and at Ice </w:t>
                    </w:r>
                    <w:r w:rsidRPr="0005639F">
                      <w:rPr>
                        <w:rFonts w:ascii="Times New Roman" w:eastAsia="Times New Roman" w:hAnsi="Times New Roman" w:cs="Times New Roman"/>
                        <w:color w:val="0000FF"/>
                        <w:sz w:val="20"/>
                        <w:szCs w:val="20"/>
                        <w:u w:val="single"/>
                      </w:rPr>
                      <w:lastRenderedPageBreak/>
                      <w:t>Surfaces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We have investigated the effects of organic matter (OM) on the photolysis kinetics of polycyclic aromatic hydrocarbons (PAHs) in water, in ice and at ice surfaces. Nonchromophoric OM (i.e. OM that does not absorb sunlight) reduces PAH photolysis rates dramatically within bulk ice samples. Photolysis rates at ice surfaces depended on OM phase, with solid OM having a greater suppressing effect than liquid OM. Spectroscopy of the PAH naphthalene at ice surfaces suggests that naphthalene partitions between ice and organic phases present there. We also investigated the effects of chromophoric OM (fulvic acid) on anthracene photolysis kinetics in aqueous solution, in ice, and at ice surfaces. Chromophoric OM reduced anthracene photolysis kinetics by competitively absorbing photons in liquid water, and by both competitively absorbing photons and altering the physical environment in ice granules. These results show that OM can affect PAH photolysis kinetics in ice and at ice surfaces in complex manners, and that OM should be considered when predicting PAH fates in snow-covered regions.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2266520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Corinne Isaac</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Christine Gleave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Pamela Nasr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John A. Marohn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6" w:anchor="2266520" w:history="1">
                    <w:r w:rsidRPr="0005639F">
                      <w:rPr>
                        <w:rFonts w:ascii="Times New Roman" w:eastAsia="Times New Roman" w:hAnsi="Times New Roman" w:cs="Times New Roman"/>
                        <w:color w:val="0000FF"/>
                        <w:sz w:val="20"/>
                        <w:szCs w:val="20"/>
                        <w:u w:val="single"/>
                      </w:rPr>
                      <w:t>Enhancing nuclear polarization for nanoscale magnetic resonance imaging</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Having the ability to image subsurface features in organic materials with chemical contrast is essential to resolving the tertiary structure of transmembrane proteins and understanding protein function. While current state of the art techniques fall short in imaging single copies of disordered biomoleucles and biomolecular complexes – that do not form crystals – </w:t>
                  </w:r>
                  <w:r w:rsidRPr="0005639F">
                    <w:rPr>
                      <w:rFonts w:ascii="Times New Roman" w:eastAsia="Times New Roman" w:hAnsi="Times New Roman" w:cs="Times New Roman"/>
                      <w:i/>
                      <w:iCs/>
                      <w:sz w:val="20"/>
                      <w:szCs w:val="20"/>
                    </w:rPr>
                    <w:t>in situ</w:t>
                  </w:r>
                  <w:r w:rsidRPr="0005639F">
                    <w:rPr>
                      <w:rFonts w:ascii="Times New Roman" w:eastAsia="Times New Roman" w:hAnsi="Times New Roman" w:cs="Times New Roman"/>
                      <w:sz w:val="20"/>
                      <w:szCs w:val="20"/>
                    </w:rPr>
                    <w:t xml:space="preserve"> with nanometer-scale resolution, we are trying to fill this knowledge gap by performing nanoscale magnetic resonance imaging (nano-MRI) using magnetic resonance force microscopy (MRFM). Detecting magnetic resonance mechanically, as in MRFM, can increase the sensitivity of nuclear magnetic resonance (NMR) to 500 protons in a 1 mHz bandwidth – corresponding to just 5 aN of force. With this sensitivity, 4 to 10 nanometer resolution imaging has been achieved by imaging spin fluctuations. Due to the low spin polarization in these small spin ensembles, spin fluctuations dominate at the operable fields and temperatures of MRFM. As a result, long signal collection and processing times are required, making it difficult to push the resolution further – to a nanometer or below. To improve this technique, we are working to increase the spin polarization and move out of this spin noise limit by using high frequency electron spin resonance (ESR), nuclear magnetic resonance (NMR), and dynamic nuclear polarization (DNP) experiments. To this end, we have designed, fabricated, characterized, and are implementing coplanar waveguides to simultaneously deliver high frequency microwaves and radiowaves in order to achieve high strength oscillating magnetic fields on a low power budget (&lt; 200 mW) to avoid sample and cantilever heating. Developing protocols for aligning a high-compliance, magnetic tipped cantilever over the micron scale waveguide under vacuum and at operating temperatures of ~4 kelvin has proven challenging but has been simplified by adding an optical imaging component to our microscope.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2269142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Hoang Long Nguyen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John A. Marohn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Cornell University, Ithaca, NY, United States. </w:t>
                  </w:r>
                  <w:r w:rsidRPr="0005639F">
                    <w:rPr>
                      <w:rFonts w:ascii="Times New Roman" w:eastAsia="Times New Roman" w:hAnsi="Times New Roman" w:cs="Times New Roman"/>
                      <w:sz w:val="20"/>
                      <w:szCs w:val="20"/>
                    </w:rPr>
                    <w:br/>
                    <w:t xml:space="preserve">2.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7" w:anchor="2269142" w:history="1">
                    <w:r w:rsidRPr="0005639F">
                      <w:rPr>
                        <w:rFonts w:ascii="Times New Roman" w:eastAsia="Times New Roman" w:hAnsi="Times New Roman" w:cs="Times New Roman"/>
                        <w:color w:val="0000FF"/>
                        <w:sz w:val="20"/>
                        <w:szCs w:val="20"/>
                        <w:u w:val="single"/>
                      </w:rPr>
                      <w:t>Investigating image reconstruction methods for magnetic resonance force microscopy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Magnetic resonance force microscopy (MRFM) is a scanned-probe technique capable of three-dimensional imaging through the mechanical detection of the nuclear magnetic resonance (NMR) and electron spin resonance (ESR) from the nuclear and electronic spins embedded within the sample, with a highly sensitive magnet-tipped cantilever. In contrast to conventional magnetic resonance imaging (MRI), MRFM works in the spin noise limit where the spin-noise fluctuations greatly exceed the average spin polarization due to the much smaller number of spins in the ensemble (~10</w:t>
                  </w:r>
                  <w:r w:rsidRPr="0005639F">
                    <w:rPr>
                      <w:rFonts w:ascii="Times New Roman" w:eastAsia="Times New Roman" w:hAnsi="Times New Roman" w:cs="Times New Roman"/>
                      <w:sz w:val="20"/>
                      <w:szCs w:val="20"/>
                      <w:vertAlign w:val="superscript"/>
                    </w:rPr>
                    <w:t>6</w:t>
                  </w:r>
                  <w:r w:rsidRPr="0005639F">
                    <w:rPr>
                      <w:rFonts w:ascii="Times New Roman" w:eastAsia="Times New Roman" w:hAnsi="Times New Roman" w:cs="Times New Roman"/>
                      <w:sz w:val="20"/>
                      <w:szCs w:val="20"/>
                    </w:rPr>
                    <w:t xml:space="preserve"> spins). Previous image reconstruction methods include the non-linear Landweber iterative algorithm and the Fourier transform (FT) imaging, similar to the conventional MRI. The first three-dimensional spin-noise image of a </w:t>
                  </w:r>
                  <w:r w:rsidRPr="0005639F">
                    <w:rPr>
                      <w:rFonts w:ascii="Times New Roman" w:eastAsia="Times New Roman" w:hAnsi="Times New Roman" w:cs="Times New Roman"/>
                      <w:i/>
                      <w:iCs/>
                      <w:sz w:val="20"/>
                      <w:szCs w:val="20"/>
                    </w:rPr>
                    <w:t>tobacco mosaic virus</w:t>
                  </w:r>
                  <w:r w:rsidRPr="0005639F">
                    <w:rPr>
                      <w:rFonts w:ascii="Times New Roman" w:eastAsia="Times New Roman" w:hAnsi="Times New Roman" w:cs="Times New Roman"/>
                      <w:sz w:val="20"/>
                      <w:szCs w:val="20"/>
                    </w:rPr>
                    <w:t xml:space="preserve"> taken with MRFM was reconstructed using Landweber algorithm by Degen </w:t>
                  </w:r>
                  <w:r w:rsidRPr="0005639F">
                    <w:rPr>
                      <w:rFonts w:ascii="Times New Roman" w:eastAsia="Times New Roman" w:hAnsi="Times New Roman" w:cs="Times New Roman"/>
                      <w:i/>
                      <w:iCs/>
                      <w:sz w:val="20"/>
                      <w:szCs w:val="20"/>
                    </w:rPr>
                    <w:t>et al.</w:t>
                  </w:r>
                  <w:r w:rsidRPr="0005639F">
                    <w:rPr>
                      <w:rFonts w:ascii="Times New Roman" w:eastAsia="Times New Roman" w:hAnsi="Times New Roman" w:cs="Times New Roman"/>
                      <w:sz w:val="20"/>
                      <w:szCs w:val="20"/>
                    </w:rPr>
                    <w:t xml:space="preserve"> at IBM Almaden at 10-nm resolution in 2009, followed by Budakian </w:t>
                  </w:r>
                  <w:r w:rsidRPr="0005639F">
                    <w:rPr>
                      <w:rFonts w:ascii="Times New Roman" w:eastAsia="Times New Roman" w:hAnsi="Times New Roman" w:cs="Times New Roman"/>
                      <w:i/>
                      <w:iCs/>
                      <w:sz w:val="20"/>
                      <w:szCs w:val="20"/>
                    </w:rPr>
                    <w:t>et al.</w:t>
                  </w:r>
                  <w:r w:rsidRPr="0005639F">
                    <w:rPr>
                      <w:rFonts w:ascii="Times New Roman" w:eastAsia="Times New Roman" w:hAnsi="Times New Roman" w:cs="Times New Roman"/>
                      <w:sz w:val="20"/>
                      <w:szCs w:val="20"/>
                    </w:rPr>
                    <w:t>'s demonstrations of FT imaging in the spin noise limit in 2013. Although FT imaging is conventionally regarded as allowing better signal-to-noise ratio (SNR), the image obtained with FT imaging in the spin-noise limit by Budakian had a surprisingly lower SNR and worse resolution than the one observed by Degen. After these demonstrations, it is still not yet clear how to proceed. The big questions of imaging are whether we should image with scanning or with FT encoding, and whether imaging with spin noise is better or the dynamic nuclear polarization (DNP) is required for spin polarization enhancement. Such issues are also faced by the nitrogen-vacancy (NV) centers imaging method, and can only be answered by a thorough comparative study of different imaging and reconstruction methods. Here, we are exploring two alternative algorithms of the image reconstruction methods for spin-force fluctuation imaging: the Landweber reiterative algorithm and the Tikhonov regularization. From this study, we propose a novel method of image reconstruction by combining Landweber reiterative algorithm with Fourier theorem for convolution. The new reconstruction scheme is approximately 10</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faster than the previous Landweber reconstruction, which was prohibitively slow and the convergence was not guaranteed. The new image reconstruction method also allows the separation between the grid of detected signal and the reconstructed image grid, leading to better image resolution than the constraint of the scanning step of the instrument.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2287686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James Roach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Mandy Bondaruk</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Weill Cornell Medical College - Qatar, Doha, Qatar.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8" w:anchor="2287686" w:history="1">
                    <w:r w:rsidRPr="0005639F">
                      <w:rPr>
                        <w:rFonts w:ascii="Times New Roman" w:eastAsia="Times New Roman" w:hAnsi="Times New Roman" w:cs="Times New Roman"/>
                        <w:color w:val="0000FF"/>
                        <w:sz w:val="20"/>
                        <w:szCs w:val="20"/>
                        <w:u w:val="single"/>
                      </w:rPr>
                      <w:t>Counterion binding in aqueous solutions of poly(vinylpyridines) as assessed by potentiometric titration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extent to which counterions bind to polyelectrolytes influences a variety of polymer-based </w:t>
                  </w:r>
                  <w:r w:rsidRPr="0005639F">
                    <w:rPr>
                      <w:rFonts w:ascii="Times New Roman" w:eastAsia="Times New Roman" w:hAnsi="Times New Roman" w:cs="Times New Roman"/>
                      <w:sz w:val="20"/>
                      <w:szCs w:val="20"/>
                    </w:rPr>
                    <w:lastRenderedPageBreak/>
                    <w:t>applications, including polyelectrolyte enhanced ultrafiltration and forward osmosis using polyelectrolytes as draw agents. Potentiometric titrations of poly(2-vinylpyridine) (P2VP), poly(3-vinylpyridine) (P3VP), and poly(4-vinylpyridine) (P4VP) were performed using HCl, HNO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 HBr, and HClO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in both the presence and absence of added NaCl. Titration data reveal that ionization properties vary as functions of polymer investigated, titrant used, degree of protonation, and counterion concentration. Acid dissociation constants of the pyridinium moieties were found to generally increase with increasing degree of protonation, though appreciable differences were exhibited among the three polymers investigated. Many trends in the results are explained in terms of differences in hydration energies and polymeric conformational changes.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r w:rsidRPr="0005639F">
                    <w:rPr>
                      <w:rFonts w:ascii="Times New Roman" w:eastAsia="Times New Roman" w:hAnsi="Times New Roman" w:cs="Times New Roman"/>
                      <w:sz w:val="20"/>
                      <w:szCs w:val="20"/>
                    </w:rPr>
                    <w:t>While I am not an ACS member, I believe the ACS Bylaw VI, Section 6(C) is not applicable because I reside in Doha, Qatar.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7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2288995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Swarna M. Basu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Alvaro A. Montoya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Susquehanna Univ, Selinsgrove,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09" w:anchor="2288995" w:history="1">
                    <w:r w:rsidRPr="0005639F">
                      <w:rPr>
                        <w:rFonts w:ascii="Times New Roman" w:eastAsia="Times New Roman" w:hAnsi="Times New Roman" w:cs="Times New Roman"/>
                        <w:color w:val="0000FF"/>
                        <w:sz w:val="20"/>
                        <w:szCs w:val="20"/>
                        <w:u w:val="single"/>
                      </w:rPr>
                      <w:t>Solvatochromism in various 1- and 2-substituted fluorenones: A spectroscopic and computational study.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behavior of 9-fluorenone and its substituted derivatives (2-hydroxy, 2-carboxylic, 2-amino, 2-nitro, 1-carboxylic) has been studied in binary solvent systems. These compounds are sensitive to structural variations, solvent polarity, and solvent and intramolecular hydrogen bonding ability. The introduction of electron withdrawing or donating substituents into different positions of a phenyl ring of fluorenone results in a change in the energy of the first excited singlet state. Solvation of these compounds in binary solvent systems (cyclohexane and tetrahydrofuran) results in changes to the excited states and subsequent changes to spectral peak positions and intensities. These effects have been studied using absorption, fluorescence and vibrational spectroscopy, in conjunction with quantum chemical calculations. The possibility of proton transfer from the substituent group to the carbonyl group in the 9-position has also been investigated.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2289711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Constance E. Warden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Scott J. Kirkby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East Tennessee State University, Johnson City, TN,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0" w:anchor="2289711" w:history="1">
                    <w:r w:rsidRPr="0005639F">
                      <w:rPr>
                        <w:rFonts w:ascii="Times New Roman" w:eastAsia="Times New Roman" w:hAnsi="Times New Roman" w:cs="Times New Roman"/>
                        <w:color w:val="0000FF"/>
                        <w:sz w:val="20"/>
                        <w:szCs w:val="20"/>
                        <w:u w:val="single"/>
                      </w:rPr>
                      <w:t>Computational quantum chemistry studies of the stabilities of radical intermediates formed during oxidation of melatonin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Free radicals are connected to oxidative stress that results in aging, cancer, Parkinson’s, Alzheimer’s, </w:t>
                  </w:r>
                  <w:r w:rsidRPr="0005639F">
                    <w:rPr>
                      <w:rFonts w:ascii="Times New Roman" w:eastAsia="Times New Roman" w:hAnsi="Times New Roman" w:cs="Times New Roman"/>
                      <w:sz w:val="20"/>
                      <w:szCs w:val="20"/>
                    </w:rPr>
                    <w:lastRenderedPageBreak/>
                    <w:t xml:space="preserve">and Sickle Cell Disease, among many other health problems. Indirect methods, such as spin trapping, are commonly used to circumvent the difficulty of direct experimental observation and identification of short-lived free radicals. Spin trapping stabilizes and lengthens the lifetime of the radical through reaction with another molecule so that it is detectable by Electron Paramagnetic Resonance spectroscopy. Recent efforts have been directed towards </w:t>
                  </w:r>
                  <w:r w:rsidRPr="0005639F">
                    <w:rPr>
                      <w:rFonts w:ascii="Times New Roman" w:eastAsia="Times New Roman" w:hAnsi="Times New Roman" w:cs="Times New Roman"/>
                      <w:i/>
                      <w:iCs/>
                      <w:sz w:val="20"/>
                      <w:szCs w:val="20"/>
                    </w:rPr>
                    <w:t>in vivo</w:t>
                  </w:r>
                  <w:r w:rsidRPr="0005639F">
                    <w:rPr>
                      <w:rFonts w:ascii="Times New Roman" w:eastAsia="Times New Roman" w:hAnsi="Times New Roman" w:cs="Times New Roman"/>
                      <w:sz w:val="20"/>
                      <w:szCs w:val="20"/>
                    </w:rPr>
                    <w:t xml:space="preserve"> spin trapping. However, the most common nitroso and nitrone spin traps are known to be toxic at high concentrations. Further complicating the interpretation of the experimental results to establish the reaction mechanisms is that the superoxide adduct of the spin trap enzymatically degrades and decays into that of the hydroxyl adduct. Melatonin is a relatively nontoxic natural antioxidant that is directly reactive towards the hydroxyl radical and relatively unreactive towards the superoxide radical. While melatonin as an antioxidant has been well studied, little is known about its intermediate radicals. This presentation will focus on </w:t>
                  </w:r>
                  <w:r w:rsidRPr="0005639F">
                    <w:rPr>
                      <w:rFonts w:ascii="Times New Roman" w:eastAsia="Times New Roman" w:hAnsi="Times New Roman" w:cs="Times New Roman"/>
                      <w:i/>
                      <w:iCs/>
                      <w:sz w:val="20"/>
                      <w:szCs w:val="20"/>
                    </w:rPr>
                    <w:t>ab initio</w:t>
                  </w:r>
                  <w:r w:rsidRPr="0005639F">
                    <w:rPr>
                      <w:rFonts w:ascii="Times New Roman" w:eastAsia="Times New Roman" w:hAnsi="Times New Roman" w:cs="Times New Roman"/>
                      <w:sz w:val="20"/>
                      <w:szCs w:val="20"/>
                    </w:rPr>
                    <w:t xml:space="preserve"> computational studies, using Hartree-Fock methods in conjunction with Dunning’s correlation-consistent polarized valence-only triple zeta (cc-pVTZ) basis set, of proposed reaction mechanisms in the gas phase for direct oxidation of melatonin. Stable structures and conformations of melatonin radical intermediates will help understand how melatonin functions as an antioxidant and determine if a melatonin derivative could function as a possible </w:t>
                  </w:r>
                  <w:r w:rsidRPr="0005639F">
                    <w:rPr>
                      <w:rFonts w:ascii="Times New Roman" w:eastAsia="Times New Roman" w:hAnsi="Times New Roman" w:cs="Times New Roman"/>
                      <w:i/>
                      <w:iCs/>
                      <w:sz w:val="20"/>
                      <w:szCs w:val="20"/>
                    </w:rPr>
                    <w:t>in vivo</w:t>
                  </w:r>
                  <w:r w:rsidRPr="0005639F">
                    <w:rPr>
                      <w:rFonts w:ascii="Times New Roman" w:eastAsia="Times New Roman" w:hAnsi="Times New Roman" w:cs="Times New Roman"/>
                      <w:sz w:val="20"/>
                      <w:szCs w:val="20"/>
                    </w:rPr>
                    <w:t xml:space="preserve"> spin trap.</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2290006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Markus M. Hoffmann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Hossein Haghani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&amp; Biochemistry, The College at Brockport, State University of New York, Brockport,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1" w:anchor="2290006" w:history="1">
                    <w:r w:rsidRPr="0005639F">
                      <w:rPr>
                        <w:rFonts w:ascii="Times New Roman" w:eastAsia="Times New Roman" w:hAnsi="Times New Roman" w:cs="Times New Roman"/>
                        <w:color w:val="0000FF"/>
                        <w:sz w:val="20"/>
                        <w:szCs w:val="20"/>
                        <w:u w:val="single"/>
                      </w:rPr>
                      <w:t>Comparing composition and temperature dependent excess viscosities of binary systems involving ionic liquids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Ionic liquids (ILs) are salts that melt below 100</w:t>
                  </w:r>
                  <w:r w:rsidRPr="0005639F">
                    <w:rPr>
                      <w:rFonts w:ascii="Times New Roman" w:eastAsia="Times New Roman" w:hAnsi="Times New Roman" w:cs="Times New Roman"/>
                      <w:sz w:val="20"/>
                      <w:szCs w:val="20"/>
                      <w:vertAlign w:val="superscript"/>
                    </w:rPr>
                    <w:t>o</w:t>
                  </w:r>
                  <w:r w:rsidRPr="0005639F">
                    <w:rPr>
                      <w:rFonts w:ascii="Times New Roman" w:eastAsia="Times New Roman" w:hAnsi="Times New Roman" w:cs="Times New Roman"/>
                      <w:sz w:val="20"/>
                      <w:szCs w:val="20"/>
                    </w:rPr>
                    <w:t xml:space="preserve">C. Depending on the particular structures of cation and anion, ILs may be completely miscible with nonpolar molecular solvents, in contrast to mineral salts. Consequently, there has been a need for physical property data of binary systems involving ILs. Since it is practically impossible to measure physical properties of every conceivable combination of IL and molecular solvent, any predictive models and schemes for these are highly desirable. In prior work, we observed a linear IL mole fraction, </w:t>
                  </w:r>
                  <w:r w:rsidRPr="0005639F">
                    <w:rPr>
                      <w:rFonts w:ascii="Times New Roman" w:eastAsia="Times New Roman" w:hAnsi="Times New Roman" w:cs="Times New Roman"/>
                      <w:i/>
                      <w:iCs/>
                      <w:sz w:val="20"/>
                      <w:szCs w:val="20"/>
                    </w:rPr>
                    <w:t>x</w:t>
                  </w:r>
                  <w:r w:rsidRPr="0005639F">
                    <w:rPr>
                      <w:rFonts w:ascii="Times New Roman" w:eastAsia="Times New Roman" w:hAnsi="Times New Roman" w:cs="Times New Roman"/>
                      <w:sz w:val="20"/>
                      <w:szCs w:val="20"/>
                      <w:vertAlign w:val="subscript"/>
                    </w:rPr>
                    <w:t>IL</w:t>
                  </w:r>
                  <w:r w:rsidRPr="0005639F">
                    <w:rPr>
                      <w:rFonts w:ascii="Times New Roman" w:eastAsia="Times New Roman" w:hAnsi="Times New Roman" w:cs="Times New Roman"/>
                      <w:sz w:val="20"/>
                      <w:szCs w:val="20"/>
                    </w:rPr>
                    <w:t xml:space="preserve">, dependence for the activation energy of viscous flow, </w:t>
                  </w:r>
                  <w:r w:rsidRPr="0005639F">
                    <w:rPr>
                      <w:rFonts w:ascii="Times New Roman" w:eastAsia="Times New Roman" w:hAnsi="Times New Roman" w:cs="Times New Roman"/>
                      <w:i/>
                      <w:iCs/>
                      <w:sz w:val="20"/>
                      <w:szCs w:val="20"/>
                    </w:rPr>
                    <w:t>E</w:t>
                  </w:r>
                  <w:r w:rsidRPr="0005639F">
                    <w:rPr>
                      <w:rFonts w:ascii="Times New Roman" w:eastAsia="Times New Roman" w:hAnsi="Times New Roman" w:cs="Times New Roman"/>
                      <w:sz w:val="20"/>
                      <w:szCs w:val="20"/>
                      <w:vertAlign w:val="subscript"/>
                    </w:rPr>
                    <w:t>a</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x</w:t>
                  </w:r>
                  <w:r w:rsidRPr="0005639F">
                    <w:rPr>
                      <w:rFonts w:ascii="Times New Roman" w:eastAsia="Times New Roman" w:hAnsi="Times New Roman" w:cs="Times New Roman"/>
                      <w:sz w:val="20"/>
                      <w:szCs w:val="20"/>
                      <w:vertAlign w:val="subscript"/>
                    </w:rPr>
                    <w:t>IL</w:t>
                  </w:r>
                  <w:r w:rsidRPr="0005639F">
                    <w:rPr>
                      <w:rFonts w:ascii="Times New Roman" w:eastAsia="Times New Roman" w:hAnsi="Times New Roman" w:cs="Times New Roman"/>
                      <w:sz w:val="20"/>
                      <w:szCs w:val="20"/>
                    </w:rPr>
                    <w:t xml:space="preserve">), for two completely different combinations of IL and molecular solvent. Thus, we inspected published results of about 250 binary IL – molecular solvent systems for similar behavior. Preliminary findings show that at least a third of these clearly display linear </w:t>
                  </w:r>
                  <w:r w:rsidRPr="0005639F">
                    <w:rPr>
                      <w:rFonts w:ascii="Times New Roman" w:eastAsia="Times New Roman" w:hAnsi="Times New Roman" w:cs="Times New Roman"/>
                      <w:i/>
                      <w:iCs/>
                      <w:sz w:val="20"/>
                      <w:szCs w:val="20"/>
                    </w:rPr>
                    <w:t>E</w:t>
                  </w:r>
                  <w:r w:rsidRPr="0005639F">
                    <w:rPr>
                      <w:rFonts w:ascii="Times New Roman" w:eastAsia="Times New Roman" w:hAnsi="Times New Roman" w:cs="Times New Roman"/>
                      <w:sz w:val="20"/>
                      <w:szCs w:val="20"/>
                      <w:vertAlign w:val="subscript"/>
                    </w:rPr>
                    <w:t>a</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x</w:t>
                  </w:r>
                  <w:r w:rsidRPr="0005639F">
                    <w:rPr>
                      <w:rFonts w:ascii="Times New Roman" w:eastAsia="Times New Roman" w:hAnsi="Times New Roman" w:cs="Times New Roman"/>
                      <w:sz w:val="20"/>
                      <w:szCs w:val="20"/>
                      <w:vertAlign w:val="subscript"/>
                    </w:rPr>
                    <w:t>IL</w:t>
                  </w:r>
                  <w:r w:rsidRPr="0005639F">
                    <w:rPr>
                      <w:rFonts w:ascii="Times New Roman" w:eastAsia="Times New Roman" w:hAnsi="Times New Roman" w:cs="Times New Roman"/>
                      <w:sz w:val="20"/>
                      <w:szCs w:val="20"/>
                    </w:rPr>
                    <w:t xml:space="preserve">) over the entire </w:t>
                  </w:r>
                  <w:r w:rsidRPr="0005639F">
                    <w:rPr>
                      <w:rFonts w:ascii="Times New Roman" w:eastAsia="Times New Roman" w:hAnsi="Times New Roman" w:cs="Times New Roman"/>
                      <w:i/>
                      <w:iCs/>
                      <w:sz w:val="20"/>
                      <w:szCs w:val="20"/>
                    </w:rPr>
                    <w:t>x</w:t>
                  </w:r>
                  <w:r w:rsidRPr="0005639F">
                    <w:rPr>
                      <w:rFonts w:ascii="Times New Roman" w:eastAsia="Times New Roman" w:hAnsi="Times New Roman" w:cs="Times New Roman"/>
                      <w:sz w:val="20"/>
                      <w:szCs w:val="20"/>
                      <w:vertAlign w:val="subscript"/>
                    </w:rPr>
                    <w:t>IL</w:t>
                  </w:r>
                  <w:r w:rsidRPr="0005639F">
                    <w:rPr>
                      <w:rFonts w:ascii="Times New Roman" w:eastAsia="Times New Roman" w:hAnsi="Times New Roman" w:cs="Times New Roman"/>
                      <w:sz w:val="20"/>
                      <w:szCs w:val="20"/>
                    </w:rPr>
                    <w:t xml:space="preserve"> range while about 10% are clearly not. Many of the remaining binary systems indicate linearity for </w:t>
                  </w:r>
                  <w:r w:rsidRPr="0005639F">
                    <w:rPr>
                      <w:rFonts w:ascii="Times New Roman" w:eastAsia="Times New Roman" w:hAnsi="Times New Roman" w:cs="Times New Roman"/>
                      <w:i/>
                      <w:iCs/>
                      <w:sz w:val="20"/>
                      <w:szCs w:val="20"/>
                    </w:rPr>
                    <w:t>E</w:t>
                  </w:r>
                  <w:r w:rsidRPr="0005639F">
                    <w:rPr>
                      <w:rFonts w:ascii="Times New Roman" w:eastAsia="Times New Roman" w:hAnsi="Times New Roman" w:cs="Times New Roman"/>
                      <w:sz w:val="20"/>
                      <w:szCs w:val="20"/>
                      <w:vertAlign w:val="subscript"/>
                    </w:rPr>
                    <w:t>a</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i/>
                      <w:iCs/>
                      <w:sz w:val="20"/>
                      <w:szCs w:val="20"/>
                    </w:rPr>
                    <w:t>x</w:t>
                  </w:r>
                  <w:r w:rsidRPr="0005639F">
                    <w:rPr>
                      <w:rFonts w:ascii="Times New Roman" w:eastAsia="Times New Roman" w:hAnsi="Times New Roman" w:cs="Times New Roman"/>
                      <w:sz w:val="20"/>
                      <w:szCs w:val="20"/>
                      <w:vertAlign w:val="subscript"/>
                    </w:rPr>
                    <w:t>IL</w:t>
                  </w:r>
                  <w:r w:rsidRPr="0005639F">
                    <w:rPr>
                      <w:rFonts w:ascii="Times New Roman" w:eastAsia="Times New Roman" w:hAnsi="Times New Roman" w:cs="Times New Roman"/>
                      <w:sz w:val="20"/>
                      <w:szCs w:val="20"/>
                    </w:rPr>
                    <w:t>) but the data was either too uncertain or incomplete to confidently make such determination. Additional observations and conclusions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CONTROL ID: </w:t>
                  </w:r>
                  <w:r w:rsidRPr="0005639F">
                    <w:rPr>
                      <w:rFonts w:ascii="Times New Roman" w:eastAsia="Times New Roman" w:hAnsi="Times New Roman" w:cs="Times New Roman"/>
                      <w:sz w:val="20"/>
                      <w:szCs w:val="20"/>
                    </w:rPr>
                    <w:t>2290083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Liang Chen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College of Environmental Science and Forestry,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2" w:anchor="2290083" w:history="1">
                    <w:r w:rsidRPr="0005639F">
                      <w:rPr>
                        <w:rFonts w:ascii="Times New Roman" w:eastAsia="Times New Roman" w:hAnsi="Times New Roman" w:cs="Times New Roman"/>
                        <w:b/>
                        <w:bCs/>
                        <w:color w:val="0000FF"/>
                        <w:sz w:val="20"/>
                        <w:szCs w:val="20"/>
                        <w:u w:val="single"/>
                      </w:rPr>
                      <w:t>Role of Electron Transfer in the Phototransformation of Mirex in Natural Water Containing Dissolved Organic Matter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reductive dechlorination of many chlorinated compounds induced by hydrated electron (e</w:t>
                  </w:r>
                  <w:r w:rsidRPr="0005639F">
                    <w:rPr>
                      <w:rFonts w:ascii="Times New Roman" w:eastAsia="Times New Roman" w:hAnsi="Times New Roman" w:cs="Times New Roman"/>
                      <w:sz w:val="20"/>
                      <w:szCs w:val="20"/>
                      <w:vertAlign w:val="subscript"/>
                    </w:rPr>
                    <w:t>hyd</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is an important process in aquatic system. As a natural source of e</w:t>
                  </w:r>
                  <w:r w:rsidRPr="0005639F">
                    <w:rPr>
                      <w:rFonts w:ascii="Times New Roman" w:eastAsia="Times New Roman" w:hAnsi="Times New Roman" w:cs="Times New Roman"/>
                      <w:sz w:val="20"/>
                      <w:szCs w:val="20"/>
                      <w:vertAlign w:val="subscript"/>
                    </w:rPr>
                    <w:t>hyd</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dissolved organic matter (DOM) can enhance the reactivity of some very hydrophobic organic compounds by binding them and bringing them into close association with e</w:t>
                  </w:r>
                  <w:r w:rsidRPr="0005639F">
                    <w:rPr>
                      <w:rFonts w:ascii="Times New Roman" w:eastAsia="Times New Roman" w:hAnsi="Times New Roman" w:cs="Times New Roman"/>
                      <w:sz w:val="20"/>
                      <w:szCs w:val="20"/>
                      <w:vertAlign w:val="subscript"/>
                    </w:rPr>
                    <w:t>hyd</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However, very limited research exists on the contribution of e</w:t>
                  </w:r>
                  <w:r w:rsidRPr="0005639F">
                    <w:rPr>
                      <w:rFonts w:ascii="Times New Roman" w:eastAsia="Times New Roman" w:hAnsi="Times New Roman" w:cs="Times New Roman"/>
                      <w:sz w:val="20"/>
                      <w:szCs w:val="20"/>
                      <w:vertAlign w:val="subscript"/>
                    </w:rPr>
                    <w:t>hyd</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produced by DOM to the transformation of pollutants in natural water. Previous work by Burns et al confirmed that mirex, a fully chlorinated insecticide, can be phototransformed into photomirex (8-monohydromirex) via e</w:t>
                  </w:r>
                  <w:r w:rsidRPr="0005639F">
                    <w:rPr>
                      <w:rFonts w:ascii="Times New Roman" w:eastAsia="Times New Roman" w:hAnsi="Times New Roman" w:cs="Times New Roman"/>
                      <w:sz w:val="20"/>
                      <w:szCs w:val="20"/>
                      <w:vertAlign w:val="subscript"/>
                    </w:rPr>
                    <w:t>hyd</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mediated process in DOM-containing water. However, because of the binding effect, direct electron transfer from DOM to mirex cannot be completely ruled out. To differentiate the contributions of e</w:t>
                  </w:r>
                  <w:r w:rsidRPr="0005639F">
                    <w:rPr>
                      <w:rFonts w:ascii="Times New Roman" w:eastAsia="Times New Roman" w:hAnsi="Times New Roman" w:cs="Times New Roman"/>
                      <w:sz w:val="20"/>
                      <w:szCs w:val="20"/>
                      <w:vertAlign w:val="subscript"/>
                    </w:rPr>
                    <w:t>hyd</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 xml:space="preserve"> from direct electron transfer,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is selected as electron donor and shuttle for direct electron transfer reaction. Our results show that under both anoxic and oxic conditions, the phototransformation product photomirex was not found in UV light (λ&gt;290 nm)-irradiated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suspension, indicating that interfacial electron transfer is not responsible for the dechloriantion of mirex.</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2290818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Ashley M. Stingel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Carmella Calabrese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Poul B. Petersen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3" w:anchor="2290818" w:history="1">
                    <w:r w:rsidRPr="0005639F">
                      <w:rPr>
                        <w:rFonts w:ascii="Times New Roman" w:eastAsia="Times New Roman" w:hAnsi="Times New Roman" w:cs="Times New Roman"/>
                        <w:color w:val="0000FF"/>
                        <w:sz w:val="20"/>
                        <w:szCs w:val="20"/>
                        <w:u w:val="single"/>
                      </w:rPr>
                      <w:t>Vibrational Dynamics and Proton Transfer of Hydrogen-Bonded Dimers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mechanisms of proton transfer through hydrogen-bonded structures, which are important for energy transfer and stability in biological systems, are dependent on the intermolecular coupling between the involved R-H vibrational modes. Such systems have very broad hydrogen-bonded spectra, which made studying the dynamics of these modes difficult and time consuming in the past. Continuum mid-IR spectroscopy overcomes these issues by utilizing an ultrafast pulse spanning the entire vibrational spectrum. Prior to studying photoinduced proton transfer in biological systems, transient absorption and 2DIR experiments were performed to understand the vibrational dynamics of biomimetic dimers. These dimers, the symmetric 7-azaindole homodimer and the asymmetric 7-azaindole—acetic acid heterodimer are model systems for DNA base pairs and undergo photoinduced proton transfer. Transient absorption experiments of the heterodimer revealed very strong intermolecular coupling between the OH and NH vibrations. This coupling, mediated through the hydrogen-bonded structure of the dimer, is likely a general property of cyclic hydrogen-bonded structures and will be important for understanding proton transfer. Despite being extensively studied, the mechanism of double proton transfer of 7-azaindole homodimer following UV excitation remains difficult to observe directly. To discern this mechanism, UV pump-continuum IR probe experiments of both the homodimer and the heterodimer are currently in progress. Such experiments allow for direct observation of NH/OH bonds that are breaking and forming during photoinduced protron transfer.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2292172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Gregory G. Theophall</w:t>
                  </w:r>
                  <w:r w:rsidRPr="0005639F">
                    <w:rPr>
                      <w:rFonts w:ascii="Times New Roman" w:eastAsia="Times New Roman" w:hAnsi="Times New Roman" w:cs="Times New Roman"/>
                      <w:sz w:val="20"/>
                      <w:szCs w:val="20"/>
                      <w:vertAlign w:val="superscript"/>
                    </w:rPr>
                    <w:t>2, 3</w:t>
                  </w:r>
                  <w:r w:rsidRPr="0005639F">
                    <w:rPr>
                      <w:rFonts w:ascii="Times New Roman" w:eastAsia="Times New Roman" w:hAnsi="Times New Roman" w:cs="Times New Roman"/>
                      <w:sz w:val="20"/>
                      <w:szCs w:val="20"/>
                    </w:rPr>
                    <w:t>, Yiyang Sun</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K. V. Lakshmi</w:t>
                  </w:r>
                  <w:r w:rsidRPr="0005639F">
                    <w:rPr>
                      <w:rFonts w:ascii="Times New Roman" w:eastAsia="Times New Roman" w:hAnsi="Times New Roman" w:cs="Times New Roman"/>
                      <w:sz w:val="20"/>
                      <w:szCs w:val="20"/>
                      <w:vertAlign w:val="superscript"/>
                    </w:rPr>
                    <w:t>1, 3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Rensselaer Polytechnic Institute, Troy, NY, United States. </w:t>
                  </w:r>
                  <w:r w:rsidRPr="0005639F">
                    <w:rPr>
                      <w:rFonts w:ascii="Times New Roman" w:eastAsia="Times New Roman" w:hAnsi="Times New Roman" w:cs="Times New Roman"/>
                      <w:sz w:val="20"/>
                      <w:szCs w:val="20"/>
                    </w:rPr>
                    <w:br/>
                    <w:t xml:space="preserve">2. Chemistry, Rensselaer Polytechnic Institute, Troy, NY, United States. </w:t>
                  </w:r>
                  <w:r w:rsidRPr="0005639F">
                    <w:rPr>
                      <w:rFonts w:ascii="Times New Roman" w:eastAsia="Times New Roman" w:hAnsi="Times New Roman" w:cs="Times New Roman"/>
                      <w:sz w:val="20"/>
                      <w:szCs w:val="20"/>
                    </w:rPr>
                    <w:br/>
                    <w:t xml:space="preserve">3. The Baruch ’60 Center for Biochemical Solar Energy Research, Troy, NY, United States. </w:t>
                  </w:r>
                  <w:r w:rsidRPr="0005639F">
                    <w:rPr>
                      <w:rFonts w:ascii="Times New Roman" w:eastAsia="Times New Roman" w:hAnsi="Times New Roman" w:cs="Times New Roman"/>
                      <w:sz w:val="20"/>
                      <w:szCs w:val="20"/>
                    </w:rPr>
                    <w:br/>
                    <w:t xml:space="preserve">4. Physics, Applied Physics and Astronomy, Rensselaer Polytechnic Institute, Troy,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4" w:anchor="2292172" w:history="1">
                    <w:r w:rsidRPr="0005639F">
                      <w:rPr>
                        <w:rFonts w:ascii="Times New Roman" w:eastAsia="Times New Roman" w:hAnsi="Times New Roman" w:cs="Times New Roman"/>
                        <w:b/>
                        <w:bCs/>
                        <w:color w:val="0000FF"/>
                        <w:sz w:val="20"/>
                        <w:szCs w:val="20"/>
                        <w:u w:val="single"/>
                      </w:rPr>
                      <w:t>The Structure and Function of Porphyrins in Energy Transduction: Electrochemical, Optical and Quantum Mechanical Studies of the Electronic Structure of Magnesium Porphyrins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Porphyrins are essential charge-transfer cofactors in life-sustaining biological processes, such as, photosynthesis and respiration. The diverse redox potentials of porphyrins, that lead to important functional differences, are tuned by smart matrix effects from the surrounding protein environment. The fundamental design principles underlying the function of porphyrins in natural systems can be utilized to construct highly efficient bio-inspired artificial systems for the photochemical production of fuels from sunlight. Typically, the components of artificial photosynthetic systems include antennas, reaction centers, catalysts for fuel production and units for photoprotection that use porphyrins as building blocks. In the present study, we are investigating a series of magnesium porphyrin models via cyclic voltammetry to determine the relative redox potentials. In parallel, we are conducting optical spectroscopy and density functional theory to directly determine the electronic properties of each porphyrin in different environments. We correlate the shifts in the redox potential of the porphyrins with the electronic properties of the porphyrin. This study provides direct support for the tuning and control of porphyrin cofactors in biological energy transduction and its application towards the construction of artificial photosynthetic devices.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*This research is supported by the Photosynthetic Systems Program, Office of Basic Energy Sciences, United States Department of Energy (DE-FG02-07ER15903).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2292190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Yang Yang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Xiao Hu</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Rowan University, Glassboro, NJ, United States. </w:t>
                  </w:r>
                  <w:r w:rsidRPr="0005639F">
                    <w:rPr>
                      <w:rFonts w:ascii="Times New Roman" w:eastAsia="Times New Roman" w:hAnsi="Times New Roman" w:cs="Times New Roman"/>
                      <w:sz w:val="20"/>
                      <w:szCs w:val="20"/>
                    </w:rPr>
                    <w:br/>
                    <w:t xml:space="preserve">2. Physics and Astronomy, Rowan University, Glassboro,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5" w:anchor="2292190" w:history="1">
                    <w:r w:rsidRPr="0005639F">
                      <w:rPr>
                        <w:rFonts w:ascii="Times New Roman" w:eastAsia="Times New Roman" w:hAnsi="Times New Roman" w:cs="Times New Roman"/>
                        <w:color w:val="0000FF"/>
                        <w:sz w:val="20"/>
                        <w:szCs w:val="20"/>
                        <w:u w:val="single"/>
                      </w:rPr>
                      <w:t>Exploration of the Structural Foundations of Resilin Elasticity at the Atomistic Level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Resilin, known as a “super elastic rubber”, has drawn intensive research interests for its striking energy </w:t>
                  </w:r>
                  <w:r w:rsidRPr="0005639F">
                    <w:rPr>
                      <w:rFonts w:ascii="Times New Roman" w:eastAsia="Times New Roman" w:hAnsi="Times New Roman" w:cs="Times New Roman"/>
                      <w:sz w:val="20"/>
                      <w:szCs w:val="20"/>
                    </w:rPr>
                    <w:lastRenderedPageBreak/>
                    <w:t xml:space="preserve">transduction and storage properties. However, due to lack of </w:t>
                  </w:r>
                  <w:r w:rsidRPr="0005639F">
                    <w:rPr>
                      <w:rFonts w:ascii="Times New Roman" w:eastAsia="Times New Roman" w:hAnsi="Times New Roman" w:cs="Times New Roman"/>
                      <w:i/>
                      <w:iCs/>
                      <w:sz w:val="20"/>
                      <w:szCs w:val="20"/>
                    </w:rPr>
                    <w:t>atomic</w:t>
                  </w:r>
                  <w:r w:rsidRPr="0005639F">
                    <w:rPr>
                      <w:rFonts w:ascii="Times New Roman" w:eastAsia="Times New Roman" w:hAnsi="Times New Roman" w:cs="Times New Roman"/>
                      <w:sz w:val="20"/>
                      <w:szCs w:val="20"/>
                    </w:rPr>
                    <w:t xml:space="preserve"> structures of this protein and its constituent domains, no models with </w:t>
                  </w:r>
                  <w:r w:rsidRPr="0005639F">
                    <w:rPr>
                      <w:rFonts w:ascii="Times New Roman" w:eastAsia="Times New Roman" w:hAnsi="Times New Roman" w:cs="Times New Roman"/>
                      <w:i/>
                      <w:iCs/>
                      <w:sz w:val="20"/>
                      <w:szCs w:val="20"/>
                    </w:rPr>
                    <w:t>atomic</w:t>
                  </w:r>
                  <w:r w:rsidRPr="0005639F">
                    <w:rPr>
                      <w:rFonts w:ascii="Times New Roman" w:eastAsia="Times New Roman" w:hAnsi="Times New Roman" w:cs="Times New Roman"/>
                      <w:sz w:val="20"/>
                      <w:szCs w:val="20"/>
                    </w:rPr>
                    <w:t xml:space="preserve"> details are available up to date to enable an in-depth understanding of the energy transductions and storage mechanism in resilin. Previous research implied that a high-hydrophobicity sequence in Exon III domain may play a critical role in resilin functions. In the present work, with computational and experimental methods, we study the structure and dynamics of such a hydrophobicity sequence. A robust β-sheet structure is captured and is proposed to serve as a critical linker connecting two subdomains in Exon III.</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2292395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Heather Vanselous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Carmella Calabrese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Poul B. Petersen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6" w:anchor="2292395" w:history="1">
                    <w:r w:rsidRPr="0005639F">
                      <w:rPr>
                        <w:rFonts w:ascii="Times New Roman" w:eastAsia="Times New Roman" w:hAnsi="Times New Roman" w:cs="Times New Roman"/>
                        <w:color w:val="0000FF"/>
                        <w:sz w:val="20"/>
                        <w:szCs w:val="20"/>
                        <w:u w:val="single"/>
                      </w:rPr>
                      <w:t>TiO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 xml:space="preserve"> Surface Morphology Influences Vibrational Dynamics of CO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 xml:space="preserve"> Reduction Catalyst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increasing concentration of CO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in the atmosphere and its impact on global warming has motivated the development of efficient CO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reduction catalysts, particularly those powered by abundant solar radiation. One such prototypical system consists of rhenium tricarbonyl based photocataysts immobilized onto high surface area solid supports, such as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nanoparticles. Predicting the activity of complex systems such as this can be difficult, with nanoparticles consisting of a mixture of various exposed crystalligraphic facets of rutile and anatase. This heterogeneity may result in different binding structures, electronic and vibrational potential energy surfaces, and catalytic efficiencies, depending on the makeup of the inorganic suport. The study of catalysts on single crystal surfaces simplifies the system, allowing for a systematic study of the effect of the underlying surface structure. We utilize time-resolved infrared pump-sum frequency generation probe vibrational spectroscopy to study the ultrafast vibrational dynamics of Re(4,4‘-dicarboxyl-2,2‘-bipyridine)(CO)</w:t>
                  </w:r>
                  <w:r w:rsidRPr="0005639F">
                    <w:rPr>
                      <w:rFonts w:ascii="Times New Roman" w:eastAsia="Times New Roman" w:hAnsi="Times New Roman" w:cs="Times New Roman"/>
                      <w:sz w:val="20"/>
                      <w:szCs w:val="20"/>
                      <w:vertAlign w:val="subscript"/>
                    </w:rPr>
                    <w:t>3</w:t>
                  </w:r>
                  <w:r w:rsidRPr="0005639F">
                    <w:rPr>
                      <w:rFonts w:ascii="Times New Roman" w:eastAsia="Times New Roman" w:hAnsi="Times New Roman" w:cs="Times New Roman"/>
                      <w:sz w:val="20"/>
                      <w:szCs w:val="20"/>
                    </w:rPr>
                    <w:t>Cl on different single crystal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surfaces. The vibrational lifetime of the metal carbonyl is found to be different, depending on the surface to which it is bound. Therefore, the molecular properties, which can influence catalytic activity, depend on the structure of the molecular catalyst –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scaffold.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2292423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Physical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Martin McDermott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Poul B. Petersen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Ashley M. Stingel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University, Ithaca, NY, United States. </w:t>
                  </w:r>
                  <w:r w:rsidRPr="0005639F">
                    <w:rPr>
                      <w:rFonts w:ascii="Times New Roman" w:eastAsia="Times New Roman" w:hAnsi="Times New Roman" w:cs="Times New Roman"/>
                      <w:sz w:val="20"/>
                      <w:szCs w:val="20"/>
                    </w:rPr>
                    <w:br/>
                    <w:t xml:space="preserve">2. Department of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317" w:anchor="2292423" w:history="1">
                    <w:r w:rsidRPr="0005639F">
                      <w:rPr>
                        <w:rFonts w:ascii="Times New Roman" w:eastAsia="Times New Roman" w:hAnsi="Times New Roman" w:cs="Times New Roman"/>
                        <w:color w:val="0000FF"/>
                        <w:sz w:val="20"/>
                        <w:szCs w:val="20"/>
                        <w:u w:val="single"/>
                      </w:rPr>
                      <w:t>Two-dimensional Infrared Spectroscopy of Water in Aligned Lipid Membranes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Water in biology is often perceived as an ordinary, ubiquitous background. However, biological processes depend on interactions at interfaces and confined spaces where the properties of water differ significantly from those of bulk water. We examine water in aligned lipid membrane samples using two-dimensional infrared (2DIR) spectroscopy. Vibrational resonances and population dynamics derived from the 2DIR ultrafast technique describe the hydrogen-bonding environment of water associated with the lipid membranes. Furthermore, lipid composition was changed to tune the lipid-water response, while hydration level was changed to tune the water from bulk to only tightly bound water molecules. Major results include: (1) examination of cross peaks describing lipid-water interactions; and (2) description of water under a range of lipid membrane compositions and hydration levels.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2228356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Progressive Methodology for Organic Synthesis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Peter Wipf</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of Pittsburgh, Pittsburgh,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8" w:anchor="2228356" w:history="1">
                    <w:r w:rsidRPr="0005639F">
                      <w:rPr>
                        <w:rFonts w:ascii="Times New Roman" w:eastAsia="Times New Roman" w:hAnsi="Times New Roman" w:cs="Times New Roman"/>
                        <w:color w:val="0000FF"/>
                        <w:sz w:val="20"/>
                        <w:szCs w:val="20"/>
                        <w:u w:val="single"/>
                      </w:rPr>
                      <w:t>From strained carbocycles to heterocycles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Cyclopropanes and cyclobutanes are commonly used building blocks in organic synthesis. A few natural products also contain these scaffolds, and a considerable number of organic methods have focused on their preparations and synthetic transformations. In contrast, applications of bicyclo[1.1.0]butanes and methylene cyclopropanes in organic synthesis have been much more limited. Our group has been able to extend bicyclobutane and methylene cyclopropane chemistry for the preparation of fused and bridged pyrrolidines, some of which represent completely novel architectures. We are also applying this methodology toward the total synthesis of polycyclic alkaloids.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8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2260926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Progressive Methodology for Organic Synthesis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Andrei K. Yudin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 Univ of Toronto, Toronto, ON, Canada.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19" w:anchor="2260926" w:history="1">
                    <w:r w:rsidRPr="0005639F">
                      <w:rPr>
                        <w:rFonts w:ascii="Times New Roman" w:eastAsia="Times New Roman" w:hAnsi="Times New Roman" w:cs="Times New Roman"/>
                        <w:color w:val="0000FF"/>
                        <w:sz w:val="20"/>
                        <w:szCs w:val="20"/>
                        <w:u w:val="single"/>
                      </w:rPr>
                      <w:t>The use of amphoteric reagents in drug discovery: from small molecules to peptide macrocycles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Contemporary approaches to drug discovery emphasize the need to access diverse and underexplored chemistry space. In this regard, peptides represent a particularly relevant therapeutic modality that has received </w:t>
                  </w:r>
                  <w:r w:rsidRPr="0005639F">
                    <w:rPr>
                      <w:rFonts w:ascii="Times New Roman" w:eastAsia="Times New Roman" w:hAnsi="Times New Roman" w:cs="Times New Roman"/>
                      <w:sz w:val="20"/>
                      <w:szCs w:val="20"/>
                    </w:rPr>
                    <w:lastRenderedPageBreak/>
                    <w:t>renewed interest over the past several years. Macrocyclic topology allows one to minimize polar surface area of peptides by increasing the propensity to form intramolecular hydrogen bonds while shielding amide bonds from solvation. In this area, we have developed several enabling methods based on amphoteric aziridine aldehydes and alpha-boryl aldehydes. These methods allow us to synthesize peptide macrocycles and evaluate them as therapeutic candidates. In this talk, I will present the progress we have made in the area of inflammatory bowel disease, where our lead molecule recently showed positive efficacy data in a 12-day colitis study.</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Another area of our research aimed at bioactive compounds pursues a “bottom-up” approach to underexplored molecules. Here, we start with a simple building block that can be readily elaborated into a relatively small drug-like molecule. To be relevant in drug discovery, this strategy relies on heteroaromatics, a well-established modality that is known to deliver drug candidates. Due to their favourable pharmacokinetic properties, small heterocycles belong to a rather overcrowded patent space with little possibility to maneuver. To address this challenge, we have pursued synthetic tools to rapidly build novel chemotypes. Our approaches have their origin in readily accessible amphoteric building blocks, employ simple starting materials, and deliver privileged structural endpoints while simultaneously facilitating access to hitherto unexplored chemotypes. Our long-term goal in this area is to develop heterocyclic inhibitors of protein domains that are known to recognize methylated lysine residues. I will discuss our recent structural biology findings that hinge on the novel heterocycles created in our lab. It is our expectation that amphoteric molecule-driven strategies will be heavily used in fragment screening and lead development campaigns.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2229177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Recent Advances in Food Chemistry and Nutritional Biochemistry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 Brenna</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Nutrition,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0" w:anchor="2229177" w:history="1">
                    <w:r w:rsidRPr="0005639F">
                      <w:rPr>
                        <w:rFonts w:ascii="Times New Roman" w:eastAsia="Times New Roman" w:hAnsi="Times New Roman" w:cs="Times New Roman"/>
                        <w:color w:val="0000FF"/>
                        <w:sz w:val="20"/>
                        <w:szCs w:val="20"/>
                        <w:u w:val="single"/>
                      </w:rPr>
                      <w:t>Covalent adduct chemical ionization (CACI) and molecular ion tandem mass spectrometry for characterization of unusual fatty acids in foods and oils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Conventional lipidomics approaches by mass spectrometry typically deliver molecular information about carbon and double bond number on specific, intact molecular species of phospholipids, triacylglycerols, and other molecules that carry unsaturated fatty radyl (acyl or alkenyl groups) but ignore double bond positions and chain branching. For several years, we developed methods for identification of double bond position or chain branching in minor fatty acids found in foods. For localization of double bonds we use an approach termed “covalent adduct chemical ionization (CACI)” tandem mass spectrometry capable of determination of double bond position in fatty acid methyl esters (FAME). A gas phase ion-molecule reaction ionizes and derivatizes the analyte. Collisional activation results in two specific diagnostic ions that locate the double bonds. The method has been applied to fatty acids of unusual double bond structure up to pentaenes. Chain branching in saturates are a little appreciated feature of fatty acids originating primarily in milkfat and ruminant meats. Collisional activation of the molecular ion of electron impact ionized FAME yields a mass spectrum very different from the MS-1 spectrum. A rearrangement around the tertiary carbon at the branch point yields strong product ions very characteristic of structure. Basics of both methods and examples of applications in oils and foods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2230612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Recent Advances in Food Chemistry and Nutritional Biochemistry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John D. Henion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Daniel Eikel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Nigel Sousou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Changtong Hao</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Advion, Inc.,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1" w:anchor="2230612" w:history="1">
                    <w:r w:rsidRPr="0005639F">
                      <w:rPr>
                        <w:rFonts w:ascii="Times New Roman" w:eastAsia="Times New Roman" w:hAnsi="Times New Roman" w:cs="Times New Roman"/>
                        <w:color w:val="0000FF"/>
                        <w:sz w:val="20"/>
                        <w:szCs w:val="20"/>
                        <w:u w:val="single"/>
                      </w:rPr>
                      <w:t>Analytical approaches for the determination of chemical residues on the surfaces of fruits and vegetables by mass spectrometry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An automated surface</w:t>
                  </w:r>
                  <w:r w:rsidRPr="0005639F">
                    <w:rPr>
                      <w:rFonts w:ascii="Cambria Math" w:eastAsia="Times New Roman" w:hAnsi="Cambria Math" w:cs="Cambria Math"/>
                      <w:sz w:val="20"/>
                      <w:szCs w:val="20"/>
                    </w:rPr>
                    <w:t>‐</w:t>
                  </w:r>
                  <w:r w:rsidRPr="0005639F">
                    <w:rPr>
                      <w:rFonts w:ascii="Times New Roman" w:eastAsia="Times New Roman" w:hAnsi="Times New Roman" w:cs="Times New Roman"/>
                      <w:sz w:val="20"/>
                      <w:szCs w:val="20"/>
                    </w:rPr>
                    <w:t>sampling technique called liquid extraction surface analysis (LESA), coupled with infusion nano</w:t>
                  </w:r>
                  <w:r w:rsidRPr="0005639F">
                    <w:rPr>
                      <w:rFonts w:ascii="Cambria Math" w:eastAsia="Times New Roman" w:hAnsi="Cambria Math" w:cs="Cambria Math"/>
                      <w:sz w:val="20"/>
                      <w:szCs w:val="20"/>
                    </w:rPr>
                    <w:t>‐</w:t>
                  </w:r>
                  <w:r w:rsidRPr="0005639F">
                    <w:rPr>
                      <w:rFonts w:ascii="Times New Roman" w:eastAsia="Times New Roman" w:hAnsi="Times New Roman" w:cs="Times New Roman"/>
                      <w:sz w:val="20"/>
                      <w:szCs w:val="20"/>
                    </w:rPr>
                    <w:t>electrospray high</w:t>
                  </w:r>
                  <w:r w:rsidRPr="0005639F">
                    <w:rPr>
                      <w:rFonts w:ascii="Cambria Math" w:eastAsia="Times New Roman" w:hAnsi="Cambria Math" w:cs="Cambria Math"/>
                      <w:sz w:val="20"/>
                      <w:szCs w:val="20"/>
                    </w:rPr>
                    <w:t>‐</w:t>
                  </w:r>
                  <w:r w:rsidRPr="0005639F">
                    <w:rPr>
                      <w:rFonts w:ascii="Times New Roman" w:eastAsia="Times New Roman" w:hAnsi="Times New Roman" w:cs="Times New Roman"/>
                      <w:sz w:val="20"/>
                      <w:szCs w:val="20"/>
                    </w:rPr>
                    <w:t>resolution mass spectrometry and tandem mass spectrometry (MS/MS), will be described and applied to the qualitative determination of surface chemical residues resulting from the artificial spraying of selected fresh fruits and vegetables with representative pesticides. When the surface of a spinach leaf was analyzed by LESA, trace levels of diazinon were readily detected on the spinach purchased directly from a supermarket before they were sprayed with the five</w:t>
                  </w:r>
                  <w:r w:rsidRPr="0005639F">
                    <w:rPr>
                      <w:rFonts w:ascii="Cambria Math" w:eastAsia="Times New Roman" w:hAnsi="Cambria Math" w:cs="Cambria Math"/>
                      <w:sz w:val="20"/>
                      <w:szCs w:val="20"/>
                    </w:rPr>
                    <w:t>‐</w:t>
                  </w:r>
                  <w:r w:rsidRPr="0005639F">
                    <w:rPr>
                      <w:rFonts w:ascii="Times New Roman" w:eastAsia="Times New Roman" w:hAnsi="Times New Roman" w:cs="Times New Roman"/>
                      <w:sz w:val="20"/>
                      <w:szCs w:val="20"/>
                    </w:rPr>
                    <w:t>pesticide mixture. A 30 s rinse under hot running tap water appeared to quantitatively remove all remaining residues of this pesticide. This report showed that representative pesticides on fruit and vegetable surfaces present at levels 20</w:t>
                  </w:r>
                  <w:r w:rsidRPr="0005639F">
                    <w:rPr>
                      <w:rFonts w:ascii="Cambria Math" w:eastAsia="Times New Roman" w:hAnsi="Cambria Math" w:cs="Cambria Math"/>
                      <w:sz w:val="20"/>
                      <w:szCs w:val="20"/>
                    </w:rPr>
                    <w:t>‐</w:t>
                  </w:r>
                  <w:r w:rsidRPr="0005639F">
                    <w:rPr>
                      <w:rFonts w:ascii="Times New Roman" w:eastAsia="Times New Roman" w:hAnsi="Times New Roman" w:cs="Times New Roman"/>
                      <w:sz w:val="20"/>
                      <w:szCs w:val="20"/>
                    </w:rPr>
                    <w:t>fold below generally allowed EPA tolerance levels are readily detected and confirmed by the described technologies making LESA</w:t>
                  </w:r>
                  <w:r w:rsidRPr="0005639F">
                    <w:rPr>
                      <w:rFonts w:ascii="Cambria Math" w:eastAsia="Times New Roman" w:hAnsi="Cambria Math" w:cs="Cambria Math"/>
                      <w:sz w:val="20"/>
                      <w:szCs w:val="20"/>
                    </w:rPr>
                    <w:t>‐</w:t>
                  </w:r>
                  <w:r w:rsidRPr="0005639F">
                    <w:rPr>
                      <w:rFonts w:ascii="Times New Roman" w:eastAsia="Times New Roman" w:hAnsi="Times New Roman" w:cs="Times New Roman"/>
                      <w:sz w:val="20"/>
                      <w:szCs w:val="20"/>
                    </w:rPr>
                    <w:t>MS as interesting screening method for food safety purposes.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Alternatively, the technique of ASAP (atmospheric sample analysis probe) installed on a compact single quadrupole mass spectrometer (Advion, Inc.) will be described which allows for screening surface chemical residues on fruits and vegetables. The work flow is a simple swipe of the glass capillary tip on the food sample with the wetted closed-end tip of glass melting point capillary followed by insertion of this glass capillary tip into a hot stream of nitrogen gas in an APCI source.</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Finally, representative over-the-counter dietary supplements which may be purported to contain potentially unhealthy additives will be described using the same ASAP-compact mass spectrometer system.</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Advances in Food Chemistry and Nutritional Biochemistry Symposium.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2234330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Recent Advances in Food Chemistry and Nutritional Biochemistry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Xinyin Jiang</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Health and Nutrition Sciences, Brooklyn College , Brooklyn,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2" w:anchor="2234330" w:history="1">
                    <w:r w:rsidRPr="0005639F">
                      <w:rPr>
                        <w:rFonts w:ascii="Times New Roman" w:eastAsia="Times New Roman" w:hAnsi="Times New Roman" w:cs="Times New Roman"/>
                        <w:color w:val="0000FF"/>
                        <w:sz w:val="20"/>
                        <w:szCs w:val="20"/>
                        <w:u w:val="single"/>
                      </w:rPr>
                      <w:t>Choline supplementation during pregnancy and perinatal health</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Choline is an essential nutrient often grouped with the B vitamins. Choline biomolecules participate in various biological processes including growth and development, cellular membrane formation, neurotransmission and one-carbon metabolism. The demand for choline increases substantially during pregnancy. Dietary recommendation for choline has been established at 450 mg/d in the form of Adequate Intake for pregnant women, yet the actual requirement of this nutrient is unknown. Supplementing third trimester pregnant women with extra choline (930mg/d versus 480 mg/d) beneficially influences maternal vasculature and fetal markers of stress. Choline supplementation improves maternal glucose tolerance and prevents fetal overgrowth in part by activating placental fat catabolism in mice with high-fat diet-induced gestational diabetes. Maternal choline supplementation may be an effective prophylaxis for the improvement of perinatal health.</w:t>
                  </w:r>
                  <w:r w:rsidRPr="0005639F">
                    <w:rPr>
                      <w:rFonts w:ascii="Times New Roman" w:eastAsia="Times New Roman" w:hAnsi="Times New Roman" w:cs="Times New Roman"/>
                      <w:sz w:val="20"/>
                      <w:szCs w:val="20"/>
                    </w:rPr>
                    <w:br/>
                    <w:t>(Advances in Food Chemistry and Nutritional Biochemistry Symposium)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2258020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Recent Advances in Food Chemistry and Nutritional Biochemistry - Oral - INVITED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Kimberly O. O'Brien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Nutr Sci,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3" w:anchor="2258020" w:history="1">
                    <w:r w:rsidRPr="0005639F">
                      <w:rPr>
                        <w:rFonts w:ascii="Times New Roman" w:eastAsia="Times New Roman" w:hAnsi="Times New Roman" w:cs="Times New Roman"/>
                        <w:color w:val="0000FF"/>
                        <w:sz w:val="20"/>
                        <w:szCs w:val="20"/>
                        <w:u w:val="single"/>
                      </w:rPr>
                      <w:t>Pumping iron across gestation: Is all iron created equal?</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At birth the human fetus contains roughly 300 mg of iron (Fe), the majority of which is accrued over the last 90 days of gestation. Fetal Fe demands can be met from existing maternal Fe stores, or from maternal dietary intake of heme Fe (from animal products) and non-heme Fe (from plant or animal products). Little attention has focused on placental utilization of heme Fe in spite of recent findings that the human placenta very richly expresses heme transport proteins. To assess placental use of heme vs. non-heme Fe, we intrinsically labeled a piglet with a stable isotope of Fe (</w:t>
                  </w:r>
                  <w:r w:rsidRPr="0005639F">
                    <w:rPr>
                      <w:rFonts w:ascii="Times New Roman" w:eastAsia="Times New Roman" w:hAnsi="Times New Roman" w:cs="Times New Roman"/>
                      <w:sz w:val="20"/>
                      <w:szCs w:val="20"/>
                      <w:vertAlign w:val="superscript"/>
                    </w:rPr>
                    <w:t>58</w:t>
                  </w:r>
                  <w:r w:rsidRPr="0005639F">
                    <w:rPr>
                      <w:rFonts w:ascii="Times New Roman" w:eastAsia="Times New Roman" w:hAnsi="Times New Roman" w:cs="Times New Roman"/>
                      <w:sz w:val="20"/>
                      <w:szCs w:val="20"/>
                    </w:rPr>
                    <w:t xml:space="preserve">Fe). During the third trimester of pregnancy, 18 women (age 16 – 32 y) were fed two test meals each containing 8 mg of Fe. One test meal was comprised of the labeled </w:t>
                  </w:r>
                  <w:r w:rsidRPr="0005639F">
                    <w:rPr>
                      <w:rFonts w:ascii="Times New Roman" w:eastAsia="Times New Roman" w:hAnsi="Times New Roman" w:cs="Times New Roman"/>
                      <w:sz w:val="20"/>
                      <w:szCs w:val="20"/>
                      <w:vertAlign w:val="superscript"/>
                    </w:rPr>
                    <w:t>58</w:t>
                  </w:r>
                  <w:r w:rsidRPr="0005639F">
                    <w:rPr>
                      <w:rFonts w:ascii="Times New Roman" w:eastAsia="Times New Roman" w:hAnsi="Times New Roman" w:cs="Times New Roman"/>
                      <w:sz w:val="20"/>
                      <w:szCs w:val="20"/>
                    </w:rPr>
                    <w:t>Fe-pork fed as chili, and the other test dose was administered as ferrous sulfate (</w:t>
                  </w:r>
                  <w:r w:rsidRPr="0005639F">
                    <w:rPr>
                      <w:rFonts w:ascii="Times New Roman" w:eastAsia="Times New Roman" w:hAnsi="Times New Roman" w:cs="Times New Roman"/>
                      <w:sz w:val="20"/>
                      <w:szCs w:val="20"/>
                      <w:vertAlign w:val="superscript"/>
                    </w:rPr>
                    <w:t>57</w:t>
                  </w:r>
                  <w:r w:rsidRPr="0005639F">
                    <w:rPr>
                      <w:rFonts w:ascii="Times New Roman" w:eastAsia="Times New Roman" w:hAnsi="Times New Roman" w:cs="Times New Roman"/>
                      <w:sz w:val="20"/>
                      <w:szCs w:val="20"/>
                    </w:rPr>
                    <w:t>FeSO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Maternal blood was collected 2-weeks post-dosing and cord blood was obtained at delivery to measure enrichment of the heme or non-heme Fe. As expected, pregnant women had a significantly higher utilization of heme (</w:t>
                  </w:r>
                  <w:r w:rsidRPr="0005639F">
                    <w:rPr>
                      <w:rFonts w:ascii="Times New Roman" w:eastAsia="Times New Roman" w:hAnsi="Times New Roman" w:cs="Times New Roman"/>
                      <w:sz w:val="20"/>
                      <w:szCs w:val="20"/>
                      <w:vertAlign w:val="superscript"/>
                    </w:rPr>
                    <w:t>58</w:t>
                  </w:r>
                  <w:r w:rsidRPr="0005639F">
                    <w:rPr>
                      <w:rFonts w:ascii="Times New Roman" w:eastAsia="Times New Roman" w:hAnsi="Times New Roman" w:cs="Times New Roman"/>
                      <w:sz w:val="20"/>
                      <w:szCs w:val="20"/>
                    </w:rPr>
                    <w:t xml:space="preserve">Fe) compared to </w:t>
                  </w:r>
                  <w:r w:rsidRPr="0005639F">
                    <w:rPr>
                      <w:rFonts w:ascii="Times New Roman" w:eastAsia="Times New Roman" w:hAnsi="Times New Roman" w:cs="Times New Roman"/>
                      <w:sz w:val="20"/>
                      <w:szCs w:val="20"/>
                      <w:vertAlign w:val="superscript"/>
                    </w:rPr>
                    <w:t>57</w:t>
                  </w:r>
                  <w:r w:rsidRPr="0005639F">
                    <w:rPr>
                      <w:rFonts w:ascii="Times New Roman" w:eastAsia="Times New Roman" w:hAnsi="Times New Roman" w:cs="Times New Roman"/>
                      <w:sz w:val="20"/>
                      <w:szCs w:val="20"/>
                    </w:rPr>
                    <w:t xml:space="preserve">Fe (non-heme Fe) (47.7 ± 14.4 vs. 40.0 ± 13.2%, p=0.04, n=18). Of interest, neonates at birth had a significantly greater percentage of maternally absorbed </w:t>
                  </w:r>
                  <w:r w:rsidRPr="0005639F">
                    <w:rPr>
                      <w:rFonts w:ascii="Times New Roman" w:eastAsia="Times New Roman" w:hAnsi="Times New Roman" w:cs="Times New Roman"/>
                      <w:sz w:val="20"/>
                      <w:szCs w:val="20"/>
                      <w:vertAlign w:val="superscript"/>
                    </w:rPr>
                    <w:t>58</w:t>
                  </w:r>
                  <w:r w:rsidRPr="0005639F">
                    <w:rPr>
                      <w:rFonts w:ascii="Times New Roman" w:eastAsia="Times New Roman" w:hAnsi="Times New Roman" w:cs="Times New Roman"/>
                      <w:sz w:val="20"/>
                      <w:szCs w:val="20"/>
                    </w:rPr>
                    <w:t xml:space="preserve">Fe compared to </w:t>
                  </w:r>
                  <w:r w:rsidRPr="0005639F">
                    <w:rPr>
                      <w:rFonts w:ascii="Times New Roman" w:eastAsia="Times New Roman" w:hAnsi="Times New Roman" w:cs="Times New Roman"/>
                      <w:sz w:val="20"/>
                      <w:szCs w:val="20"/>
                      <w:vertAlign w:val="superscript"/>
                    </w:rPr>
                    <w:t>57</w:t>
                  </w:r>
                  <w:r w:rsidRPr="0005639F">
                    <w:rPr>
                      <w:rFonts w:ascii="Times New Roman" w:eastAsia="Times New Roman" w:hAnsi="Times New Roman" w:cs="Times New Roman"/>
                      <w:sz w:val="20"/>
                      <w:szCs w:val="20"/>
                    </w:rPr>
                    <w:t xml:space="preserve">Fe (5.4 ± 2.4 vs. 4.0 ± 1.6%; p&lt;0.0001) suggesting a preferential fetal use of maternally ingested Fe derived from a dietary, animal-based heme source. The net amount of </w:t>
                  </w:r>
                  <w:r w:rsidRPr="0005639F">
                    <w:rPr>
                      <w:rFonts w:ascii="Times New Roman" w:eastAsia="Times New Roman" w:hAnsi="Times New Roman" w:cs="Times New Roman"/>
                      <w:sz w:val="20"/>
                      <w:szCs w:val="20"/>
                      <w:vertAlign w:val="superscript"/>
                    </w:rPr>
                    <w:t>57</w:t>
                  </w:r>
                  <w:r w:rsidRPr="0005639F">
                    <w:rPr>
                      <w:rFonts w:ascii="Times New Roman" w:eastAsia="Times New Roman" w:hAnsi="Times New Roman" w:cs="Times New Roman"/>
                      <w:sz w:val="20"/>
                      <w:szCs w:val="20"/>
                    </w:rPr>
                    <w:t xml:space="preserve">Fe (p=0.002) and </w:t>
                  </w:r>
                  <w:r w:rsidRPr="0005639F">
                    <w:rPr>
                      <w:rFonts w:ascii="Times New Roman" w:eastAsia="Times New Roman" w:hAnsi="Times New Roman" w:cs="Times New Roman"/>
                      <w:sz w:val="20"/>
                      <w:szCs w:val="20"/>
                      <w:vertAlign w:val="superscript"/>
                    </w:rPr>
                    <w:t>58</w:t>
                  </w:r>
                  <w:r w:rsidRPr="0005639F">
                    <w:rPr>
                      <w:rFonts w:ascii="Times New Roman" w:eastAsia="Times New Roman" w:hAnsi="Times New Roman" w:cs="Times New Roman"/>
                      <w:sz w:val="20"/>
                      <w:szCs w:val="20"/>
                    </w:rPr>
                    <w:t>Fe (p=0.004) transferred to the fetus were both inversely correlated with maternal serum hepcidin. Maternal utilization of the non heme Fe was significantly associated with maternal Fe status as evidenced by a positive association with serum transferrin receptor concentration (p=0.003, 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=0.43). Further research on mechanisms of placental Fe uptake of dietary heme and non-heme Fe are warranted.</w:t>
                  </w:r>
                  <w:r w:rsidRPr="0005639F">
                    <w:rPr>
                      <w:rFonts w:ascii="Times New Roman" w:eastAsia="Times New Roman" w:hAnsi="Times New Roman" w:cs="Times New Roman"/>
                      <w:sz w:val="20"/>
                      <w:szCs w:val="20"/>
                    </w:rPr>
                    <w:br/>
                    <w:t>Advances in Food Chemistry and Nutritional Biochemistry Symposium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2223728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The Legacy of Minority Institution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David G. Hilmey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St. Bonaventure University, Allegany,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4" w:anchor="2223728" w:history="1">
                    <w:r w:rsidRPr="0005639F">
                      <w:rPr>
                        <w:rFonts w:ascii="Times New Roman" w:eastAsia="Times New Roman" w:hAnsi="Times New Roman" w:cs="Times New Roman"/>
                        <w:color w:val="0000FF"/>
                        <w:sz w:val="20"/>
                        <w:szCs w:val="20"/>
                        <w:u w:val="single"/>
                      </w:rPr>
                      <w:t>A community-based learning archetype for science : Native American health and medicine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 general education college course was developed and implemented, bringing together Native American leaders, undergraduates, an Iroquois medicine man, high school students, and concepts of chemistry and science. The resulting class was profound in both student and community learning. Science students experienced, firsthand, the teaching of the Seneca Nation of Indians and learned of their traditional medicines and culture. The students then investigated the chemical and biological science in some of the Seneca medicinal sources and presented them to the Seneca community leaders and high school students in Salamanca, NY. The class was envisioned to be a part of the Seneca mission to validate their traditions, but it evolved into something far more profound. The group experienced the Seneca people in a powerful and intense series of events.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Thank you very much for the invitation. I am excited to share this experience.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2231673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The Legacy of Minority Institution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Joslynn Lee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Biomedical Sciences, University of Minnesota Med School Duluth, Duluth, MN,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5" w:anchor="2231673" w:history="1">
                    <w:r w:rsidRPr="0005639F">
                      <w:rPr>
                        <w:rFonts w:ascii="Times New Roman" w:eastAsia="Times New Roman" w:hAnsi="Times New Roman" w:cs="Times New Roman"/>
                        <w:color w:val="0000FF"/>
                        <w:sz w:val="20"/>
                        <w:szCs w:val="20"/>
                        <w:u w:val="single"/>
                      </w:rPr>
                      <w:t>Engaging and mentoring STEM-focused students transitioning from tribal colleges to universities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Native American students who major in STEM-focused fields do not have the same access to advanced courses and research at tribal colleges. Tribal colleges offer AA and AS degrees in generic science fields due to the limitations of coursework. Students transferring from tribal college to universities encounter a different culture when moving to and living on college campuses. Native American students need institutional support, with community events, tutoring services and academic support to succeed. This session will introduce ways that faculty and adminstration can do to interact with students, their local community and home communities.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2286417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The Legacy of Minority Institution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AUTHORS (FIRST NAME, LAST NAME): </w:t>
                  </w:r>
                  <w:r w:rsidRPr="0005639F">
                    <w:rPr>
                      <w:rFonts w:ascii="Times New Roman" w:eastAsia="Times New Roman" w:hAnsi="Times New Roman" w:cs="Times New Roman"/>
                      <w:sz w:val="20"/>
                      <w:szCs w:val="20"/>
                      <w:u w:val="single"/>
                    </w:rPr>
                    <w:t>John A. Harkless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Howard Univ, Washington, DC,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6" w:anchor="2286417" w:history="1">
                    <w:r w:rsidRPr="0005639F">
                      <w:rPr>
                        <w:rFonts w:ascii="Times New Roman" w:eastAsia="Times New Roman" w:hAnsi="Times New Roman" w:cs="Times New Roman"/>
                        <w:color w:val="0000FF"/>
                        <w:sz w:val="20"/>
                        <w:szCs w:val="20"/>
                        <w:u w:val="single"/>
                      </w:rPr>
                      <w:t>Beyond Percy Julian: Howard's Chemical History As America's Chemical History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Department of Chemistry at Howard University is the first program at any Historically Black College and University (HBCU) to award the PhD. In addition to this historical fact, faculty and alumni of the program have been integral contributors to the chemical enterprise in America. From the notable early career of Percy Julian, to the large numbers of alumni over the years with careers in academia, government and the private sector, the story of Howard’s Department of Chemistry is a part a larger national story. It is within this context that this talk and its associated remarks will give an overview of the place of this program in historical and modern times.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2286586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The Legacy of Minority Institution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Deborah G. Sauder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Victoria Volkis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University of Maryland Eastern Shore, Princess Anne,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7" w:anchor="2286586" w:history="1">
                    <w:r w:rsidRPr="0005639F">
                      <w:rPr>
                        <w:rFonts w:ascii="Times New Roman" w:eastAsia="Times New Roman" w:hAnsi="Times New Roman" w:cs="Times New Roman"/>
                        <w:b/>
                        <w:bCs/>
                        <w:color w:val="0000FF"/>
                        <w:sz w:val="20"/>
                        <w:szCs w:val="20"/>
                        <w:u w:val="single"/>
                      </w:rPr>
                      <w:t>University of Maryland Eastern Shore (UMES): Best graduate and undergraduate material research practices to help sustain local rural communities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1890 Land-Grant Universities have historically been a key resource for the best scientifically based agricultural and environmental research. The University of Maryland Eastern Shore (UMES) is situated on the Eastern Shore of Maryland, a critical rural area, with small farms and underserved farmers. This unique location encourages interactions among University researchers, farmers and local rural communities. Small farms cannot generate enough income from commodity corn and soy crops alone, and need alternatives for extra income. At UMES agricultural, chemical and material research specialists formed a special research and training cluster in which they work jointly on specialty crops and their non-food related applications in the field of material research, as well as environmental and marine projects addressing problems of pollutions and waste in local communities. Examples of such research are: (i) blending natural specialty crops extracts with polymers to develop natural and effective anti-foaling coating to prevent biofilm formation on objects including military ships, platforms etc.; (ii) using biocompatible polymeric chitosan-based blends as sorbents for reversible carbon dioxide capturing and controlled release in algae-growing reactors and in the process of transforming biomass into alcohol by fermentation to increase the effectiveness of biomass use. Only about 20% of students-researchers in the cluster are graduate students and the rest are undergraduates. At UMES, the material cluster focuses on supporting students in performing outstanding research through their undergraduate and graduate education. Working on the material research projects described above, our material cluster has developed some educational practices for effectively involving undergraduate students into research and supporting their interactions with graduate students. The practices include early involvement, development of special workshops and training settings allowing fast project starts, working in small groups lead by more experienced students, picking projects that can be easy divided into small tasks suitable to undergraduate student’s schedules, traveling to conferences and collaboration sites for undergraduate and graduate participants. In this presentation we will review the material research projects conducted by undergraduate students, as mentioned above and will show how our best practices are implemented in each of these projects.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2292243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The Legacy of Minority Institution - Oral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Albert N. Thompson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Kimberly M. Jackson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Spelman College, Atlanta, GA,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8" w:anchor="2292243" w:history="1">
                    <w:r w:rsidRPr="0005639F">
                      <w:rPr>
                        <w:rFonts w:ascii="Times New Roman" w:eastAsia="Times New Roman" w:hAnsi="Times New Roman" w:cs="Times New Roman"/>
                        <w:b/>
                        <w:bCs/>
                        <w:color w:val="0000FF"/>
                        <w:sz w:val="20"/>
                        <w:szCs w:val="20"/>
                        <w:u w:val="single"/>
                      </w:rPr>
                      <w:t xml:space="preserve">A Legacy Fulfilled: Spelman College's Impact in the Chemical Sciences </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Spelman College has sustained a strong record of educating African American women in the sciences and mathematics who earn the doctorate degree and pursue professional scientific careers. While Spelman is exceptional in carrying out its mission to educate talented women from economically disadvantaged backgrounds, the national racial disparity among individuals who earn doctoral degrees is stifling -- less than 3% of the STEM doctoral degrees awarded each year are to African American women. For almost forty years, the department of Chemistry and Biochemistry at Spelman College has created an environment that prepares women of African descent to excel in the biomedical and chemical sciences. Spelman has been able to overcome its once marginalized position as an historically Black college and women’s college in the South to become one of this country’s top baccalaureate producers of African American women in STEM. Alumnae have attained more than two hundred PhD degrees in the natural sciences and mathematics, with more than a third in the chemical sciences. The transformation has been dramatic, from an average of one student pursuing a degree in chemistry in the 1970s to an average of 100 students pursuing the degree today. This presentation will highlight the beginnings and successes of a very young department to now being one of the top baccalaureate producers of African Americans who earn PhDs in the chemical sciences.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69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2216719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Christiane Muok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Fatma Mahmoud</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Academy of Science Charter School,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29" w:anchor="2216719" w:history="1">
                    <w:r w:rsidRPr="0005639F">
                      <w:rPr>
                        <w:rFonts w:ascii="Times New Roman" w:eastAsia="Times New Roman" w:hAnsi="Times New Roman" w:cs="Times New Roman"/>
                        <w:color w:val="0000FF"/>
                        <w:sz w:val="20"/>
                        <w:szCs w:val="20"/>
                        <w:u w:val="single"/>
                      </w:rPr>
                      <w:t>GC-MS volatile organic compound analysis in drinking water samples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Abstract</w:t>
                  </w:r>
                  <w:r w:rsidRPr="0005639F">
                    <w:rPr>
                      <w:rFonts w:ascii="Times New Roman" w:eastAsia="Times New Roman" w:hAnsi="Times New Roman" w:cs="Times New Roman"/>
                      <w:sz w:val="20"/>
                      <w:szCs w:val="20"/>
                    </w:rPr>
                    <w:br/>
                    <w:t xml:space="preserve">Volatile Organic Compounds (VOC) are organic compounds that have a high vapor pressure at ordinary room temperature. In this study the VOC’s that used were benzene, toluene, ethylbenzene, and xylene. These chemicals can pose as a threat to our health. These risks can include cancer, irritation to the skin, respiratory infections, and neurological effects. In this research, we aimed to analyze the bottle water samples and water samples from our school and common public area (Destiny USA) for VOC samples by Gas chromatography–mass spectrometry </w:t>
                  </w:r>
                  <w:r w:rsidRPr="0005639F">
                    <w:rPr>
                      <w:rFonts w:ascii="Times New Roman" w:eastAsia="Times New Roman" w:hAnsi="Times New Roman" w:cs="Times New Roman"/>
                      <w:sz w:val="20"/>
                      <w:szCs w:val="20"/>
                    </w:rPr>
                    <w:lastRenderedPageBreak/>
                    <w:t>(GC-MS). For this purpose, each sample of water was first measured with a 10 mL volumetric pipette then put into a 10 mL vial and stirred for 5 min at 600 rpm to make sure that the VOC’s are distributed evenly throughout the vial. The possible VOC samples were collected by Solid Phase Micro Extractor (SPME) and inserted into the GC-MS to determine the VOC presence and concentration in the water samples. The high-grade water bottles, Voss and Aquafina had lower concentrations of VOC than Nirvana, Syracuse Academy Of Science, and Destiny USA.</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2289038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Allison J. Tierney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Kunwei Yang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Michelle L. Kovarik</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Trinity College, Hartford, CT, United States. </w:t>
                  </w:r>
                  <w:r w:rsidRPr="0005639F">
                    <w:rPr>
                      <w:rFonts w:ascii="Times New Roman" w:eastAsia="Times New Roman" w:hAnsi="Times New Roman" w:cs="Times New Roman"/>
                      <w:sz w:val="20"/>
                      <w:szCs w:val="20"/>
                    </w:rPr>
                    <w:br/>
                    <w:t xml:space="preserve">2. Chemistry, Trinity College, Manchester,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0" w:anchor="2289038" w:history="1">
                    <w:r w:rsidRPr="0005639F">
                      <w:rPr>
                        <w:rFonts w:ascii="Times New Roman" w:eastAsia="Times New Roman" w:hAnsi="Times New Roman" w:cs="Times New Roman"/>
                        <w:color w:val="0000FF"/>
                        <w:sz w:val="20"/>
                        <w:szCs w:val="20"/>
                        <w:u w:val="single"/>
                      </w:rPr>
                      <w:t xml:space="preserve">Measuring Peptidase Activity in </w:t>
                    </w:r>
                    <w:r w:rsidRPr="0005639F">
                      <w:rPr>
                        <w:rFonts w:ascii="Times New Roman" w:eastAsia="Times New Roman" w:hAnsi="Times New Roman" w:cs="Times New Roman"/>
                        <w:i/>
                        <w:iCs/>
                        <w:color w:val="0000FF"/>
                        <w:sz w:val="20"/>
                        <w:szCs w:val="20"/>
                        <w:u w:val="single"/>
                      </w:rPr>
                      <w:t>Dictyostelium</w:t>
                    </w:r>
                    <w:r w:rsidRPr="0005639F">
                      <w:rPr>
                        <w:rFonts w:ascii="Times New Roman" w:eastAsia="Times New Roman" w:hAnsi="Times New Roman" w:cs="Times New Roman"/>
                        <w:color w:val="0000FF"/>
                        <w:sz w:val="20"/>
                        <w:szCs w:val="20"/>
                        <w:u w:val="single"/>
                      </w:rPr>
                      <w:t xml:space="preserve"> using Peptide Substrate Reporters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Peptide substrate reporters are fluorescently labeled substrates that can be acted upon by one or more enzymes of interest. Peptide substrates are generally easier to work with than full-length protein substrates; however, they can be degraded by peptidases. As a result, proteolysis of peptide reporters can be a problem when attempting to study enzymes in intact cells and lysates. We are adapting a peptide substrate reporter for protein kinase B (PKB) that was developed in human cells for use in </w:t>
                  </w:r>
                  <w:r w:rsidRPr="0005639F">
                    <w:rPr>
                      <w:rFonts w:ascii="Times New Roman" w:eastAsia="Times New Roman" w:hAnsi="Times New Roman" w:cs="Times New Roman"/>
                      <w:i/>
                      <w:iCs/>
                      <w:sz w:val="20"/>
                      <w:szCs w:val="20"/>
                    </w:rPr>
                    <w:t>Dictyostelium</w:t>
                  </w:r>
                  <w:r w:rsidRPr="0005639F">
                    <w:rPr>
                      <w:rFonts w:ascii="Times New Roman" w:eastAsia="Times New Roman" w:hAnsi="Times New Roman" w:cs="Times New Roman"/>
                      <w:sz w:val="20"/>
                      <w:szCs w:val="20"/>
                    </w:rPr>
                    <w:t xml:space="preserve">, a social amoeba with three unique life cycles used as a common model organism. We plan to measure PKB activity in </w:t>
                  </w:r>
                  <w:r w:rsidRPr="0005639F">
                    <w:rPr>
                      <w:rFonts w:ascii="Times New Roman" w:eastAsia="Times New Roman" w:hAnsi="Times New Roman" w:cs="Times New Roman"/>
                      <w:i/>
                      <w:iCs/>
                      <w:sz w:val="20"/>
                      <w:szCs w:val="20"/>
                    </w:rPr>
                    <w:t>Dictyostelium</w:t>
                  </w:r>
                  <w:r w:rsidRPr="0005639F">
                    <w:rPr>
                      <w:rFonts w:ascii="Times New Roman" w:eastAsia="Times New Roman" w:hAnsi="Times New Roman" w:cs="Times New Roman"/>
                      <w:sz w:val="20"/>
                      <w:szCs w:val="20"/>
                    </w:rPr>
                    <w:t xml:space="preserve"> lysates using the peptide VI-B, but first we must characterize the stability of this reporter in lysates. The results of the degradation assays are measured by capillary electrophoresis with laser-induced fluorescence (CE-LIF). This semester, we determined that VI-B experiences minimal proteolysis in our degradation assays (t</w:t>
                  </w:r>
                  <w:r w:rsidRPr="0005639F">
                    <w:rPr>
                      <w:rFonts w:ascii="Times New Roman" w:eastAsia="Times New Roman" w:hAnsi="Times New Roman" w:cs="Times New Roman"/>
                      <w:sz w:val="20"/>
                      <w:szCs w:val="20"/>
                      <w:vertAlign w:val="subscript"/>
                    </w:rPr>
                    <w:t>1/2</w:t>
                  </w:r>
                  <w:r w:rsidRPr="0005639F">
                    <w:rPr>
                      <w:rFonts w:ascii="Times New Roman" w:eastAsia="Times New Roman" w:hAnsi="Times New Roman" w:cs="Times New Roman"/>
                      <w:sz w:val="20"/>
                      <w:szCs w:val="20"/>
                    </w:rPr>
                    <w:t xml:space="preserve"> &gt; 2 h) in a 3-mg/mL protein lysate from vegetative cells. On-going work includes determining a reproducible half-life for VI-B and comparing degradation of VI-B as a function of the cell life cycle.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2291973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Lauren Lubecki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Math and Natural Sciences, D'Youville College, Depew,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1" w:anchor="2291973" w:history="1">
                    <w:r w:rsidRPr="0005639F">
                      <w:rPr>
                        <w:rFonts w:ascii="Times New Roman" w:eastAsia="Times New Roman" w:hAnsi="Times New Roman" w:cs="Times New Roman"/>
                        <w:color w:val="0000FF"/>
                        <w:sz w:val="20"/>
                        <w:szCs w:val="20"/>
                        <w:u w:val="single"/>
                      </w:rPr>
                      <w:t>Comparing an analytical titration to a commercial kit to determine the hardness of water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Determining the hardness of water is useful for solving plumbing issues around the house, and saving money in repairs over time. The corrosion of pipes in a house, or that milky film on dishes and sinks are due to hard water; water with a high concentration of calcium and magnesium ions. By testing the level of hardness, </w:t>
                  </w:r>
                  <w:r w:rsidRPr="0005639F">
                    <w:rPr>
                      <w:rFonts w:ascii="Times New Roman" w:eastAsia="Times New Roman" w:hAnsi="Times New Roman" w:cs="Times New Roman"/>
                      <w:sz w:val="20"/>
                      <w:szCs w:val="20"/>
                    </w:rPr>
                    <w:lastRenderedPageBreak/>
                    <w:t>further measures can be taken to remove those ions from the water. Well water tends to have higher hardness than tap water from Erie County, and softened water has very low hardness.</w:t>
                  </w:r>
                  <w:r w:rsidRPr="0005639F">
                    <w:rPr>
                      <w:rFonts w:ascii="Times New Roman" w:eastAsia="Times New Roman" w:hAnsi="Times New Roman" w:cs="Times New Roman"/>
                      <w:sz w:val="20"/>
                      <w:szCs w:val="20"/>
                    </w:rPr>
                    <w:br/>
                    <w:t>The calcium and magnesium ion concentration can be determined by titrating with ethylenediaminetetraacetic acid (EDTA). This study compares the results of an analytical titration, using UV/Vis spectroscopy to determine the endpoint, with a commercial testing kit where the endpoint is determined by eye. Each method was assessed for precision, accuracy, and ease of use. Though the kit is far simpler to implement, the analytical titration tends to be more accurate.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2292192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Kunwei Yang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Allison J. Tierney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Michelle L. Kovarik</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Trinity College, Hartford, CT, United States. </w:t>
                  </w:r>
                  <w:r w:rsidRPr="0005639F">
                    <w:rPr>
                      <w:rFonts w:ascii="Times New Roman" w:eastAsia="Times New Roman" w:hAnsi="Times New Roman" w:cs="Times New Roman"/>
                      <w:sz w:val="20"/>
                      <w:szCs w:val="20"/>
                    </w:rPr>
                    <w:br/>
                    <w:t xml:space="preserve">2. Chemistry, Trinity College, Hartford,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2" w:anchor="2292192" w:history="1">
                    <w:r w:rsidRPr="0005639F">
                      <w:rPr>
                        <w:rFonts w:ascii="Times New Roman" w:eastAsia="Times New Roman" w:hAnsi="Times New Roman" w:cs="Times New Roman"/>
                        <w:color w:val="0000FF"/>
                        <w:sz w:val="20"/>
                        <w:szCs w:val="20"/>
                        <w:u w:val="single"/>
                      </w:rPr>
                      <w:t xml:space="preserve">A Phosphorylation Assay for PKB Activity in </w:t>
                    </w:r>
                    <w:r w:rsidRPr="0005639F">
                      <w:rPr>
                        <w:rFonts w:ascii="Times New Roman" w:eastAsia="Times New Roman" w:hAnsi="Times New Roman" w:cs="Times New Roman"/>
                        <w:i/>
                        <w:iCs/>
                        <w:color w:val="0000FF"/>
                        <w:sz w:val="20"/>
                        <w:szCs w:val="20"/>
                        <w:u w:val="single"/>
                      </w:rPr>
                      <w:t xml:space="preserve">Dictyostelium </w:t>
                    </w:r>
                    <w:r w:rsidRPr="0005639F">
                      <w:rPr>
                        <w:rFonts w:ascii="Times New Roman" w:eastAsia="Times New Roman" w:hAnsi="Times New Roman" w:cs="Times New Roman"/>
                        <w:color w:val="0000FF"/>
                        <w:sz w:val="20"/>
                        <w:szCs w:val="20"/>
                        <w:u w:val="single"/>
                      </w:rPr>
                      <w:t>using a Peptide Reporter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Protein kinase B (PKB) is an enzyme that assists cells to proliferate under stressful conditions. In human cells, aberrant PKB activity is implicated in many cancers, making PKB an important target for further research. We are studying PKB in </w:t>
                  </w:r>
                  <w:r w:rsidRPr="0005639F">
                    <w:rPr>
                      <w:rFonts w:ascii="Times New Roman" w:eastAsia="Times New Roman" w:hAnsi="Times New Roman" w:cs="Times New Roman"/>
                      <w:i/>
                      <w:iCs/>
                      <w:sz w:val="20"/>
                      <w:szCs w:val="20"/>
                    </w:rPr>
                    <w:t>Dictyostelium</w:t>
                  </w:r>
                  <w:r w:rsidRPr="0005639F">
                    <w:rPr>
                      <w:rFonts w:ascii="Times New Roman" w:eastAsia="Times New Roman" w:hAnsi="Times New Roman" w:cs="Times New Roman"/>
                      <w:sz w:val="20"/>
                      <w:szCs w:val="20"/>
                    </w:rPr>
                    <w:t xml:space="preserve">, a social amoeba that has highly conserved protein kinase B signaling pathways similar to those in human cells. In </w:t>
                  </w:r>
                  <w:r w:rsidRPr="0005639F">
                    <w:rPr>
                      <w:rFonts w:ascii="Times New Roman" w:eastAsia="Times New Roman" w:hAnsi="Times New Roman" w:cs="Times New Roman"/>
                      <w:i/>
                      <w:iCs/>
                      <w:sz w:val="20"/>
                      <w:szCs w:val="20"/>
                    </w:rPr>
                    <w:t xml:space="preserve">Dictyostelium, </w:t>
                  </w:r>
                  <w:r w:rsidRPr="0005639F">
                    <w:rPr>
                      <w:rFonts w:ascii="Times New Roman" w:eastAsia="Times New Roman" w:hAnsi="Times New Roman" w:cs="Times New Roman"/>
                      <w:sz w:val="20"/>
                      <w:szCs w:val="20"/>
                    </w:rPr>
                    <w:t xml:space="preserve">PKB is activated when cells are under nutrient-poor conditions. We are measuring PKB activity in </w:t>
                  </w:r>
                  <w:r w:rsidRPr="0005639F">
                    <w:rPr>
                      <w:rFonts w:ascii="Times New Roman" w:eastAsia="Times New Roman" w:hAnsi="Times New Roman" w:cs="Times New Roman"/>
                      <w:i/>
                      <w:iCs/>
                      <w:sz w:val="20"/>
                      <w:szCs w:val="20"/>
                    </w:rPr>
                    <w:t>Dictyostelium</w:t>
                  </w:r>
                  <w:r w:rsidRPr="0005639F">
                    <w:rPr>
                      <w:rFonts w:ascii="Times New Roman" w:eastAsia="Times New Roman" w:hAnsi="Times New Roman" w:cs="Times New Roman"/>
                      <w:sz w:val="20"/>
                      <w:szCs w:val="20"/>
                    </w:rPr>
                    <w:t xml:space="preserve"> lysates using the peptide reporter VI-B, a fluorescently labeled substrate for PKB. Cells are first lysed in lysis buffer, and the lysate is mixed with VI-B, and a kinase buffer that simulates the cytoplasmic environment. Samples are incubated for 6 hours, and aliquots are taken out at various time points to assess phosphorylation. The results of these assays are measured by capillary electrophoresis with laser-induced fluorescence (CE-LIF). Based on the integration of peak areas on the electropherograms, the ratio of phosphorylated VI-B and parent VI-B is calculated as a measurement of PKB activity. PKB activity can then be determined as a function of cell culture conditions, including different durations of cell starvation. For future work, we will use mutant cells that do not express PKB to check reporter peptide specificity.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2292237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Alaa Farghli</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Christopher Crecco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Clifford S. Rossiter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Potsdam, Canton, NY, United States. </w:t>
                  </w:r>
                  <w:r w:rsidRPr="0005639F">
                    <w:rPr>
                      <w:rFonts w:ascii="Times New Roman" w:eastAsia="Times New Roman" w:hAnsi="Times New Roman" w:cs="Times New Roman"/>
                      <w:sz w:val="20"/>
                      <w:szCs w:val="20"/>
                    </w:rPr>
                    <w:br/>
                    <w:t xml:space="preserve">2. Chemistry, SUNY Potsdam,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3" w:anchor="2292237" w:history="1">
                    <w:r w:rsidRPr="0005639F">
                      <w:rPr>
                        <w:rFonts w:ascii="Times New Roman" w:eastAsia="Times New Roman" w:hAnsi="Times New Roman" w:cs="Times New Roman"/>
                        <w:color w:val="0000FF"/>
                        <w:sz w:val="20"/>
                        <w:szCs w:val="20"/>
                        <w:u w:val="single"/>
                      </w:rPr>
                      <w:t>Application of a label-free indicator displacement assay to detect enzyme activity in solution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need for versatile, easy to use methods for the detection of enzyme activity is prevalent in environmental monitoring, food safety and disease diagnosis. Our research aims are to create a new assay with the ability of detecting enzyme activity through fluorescence spectroscopy. Our model includes the utilization of carbonic anhydrase (CA) as a receptor, a synthetic substrate, fluorescent probe and a target enzyme. CA forms a strong complex when bound to the substrate. Upon addition of the enzyme and hydrolysis of the substrate, a decrease in binding affinity is observed allowing the indicator to bind itself with the CA.</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The kinetics of our methyl, ethyl, propyl and butyl substrates were characterized. Our results showed a direct positive correlation between the length of the esters and binding constant.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 xml:space="preserve">Cold you please remove the Mr from Mr. Alaa Farghli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2292784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Analytical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Ellis Curtis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St. Lawrence University, Canton,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4" w:anchor="2292784" w:history="1">
                    <w:r w:rsidRPr="0005639F">
                      <w:rPr>
                        <w:rFonts w:ascii="Times New Roman" w:eastAsia="Times New Roman" w:hAnsi="Times New Roman" w:cs="Times New Roman"/>
                        <w:color w:val="0000FF"/>
                        <w:sz w:val="20"/>
                        <w:szCs w:val="20"/>
                        <w:u w:val="single"/>
                      </w:rPr>
                      <w:t>Doxorubicin Interaction with DNA</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Doxorubicin Interaction with DNA</w:t>
                  </w:r>
                  <w:r w:rsidRPr="0005639F">
                    <w:rPr>
                      <w:rFonts w:ascii="Times New Roman" w:eastAsia="Times New Roman" w:hAnsi="Times New Roman" w:cs="Times New Roman"/>
                      <w:sz w:val="20"/>
                      <w:szCs w:val="20"/>
                    </w:rPr>
                    <w:br/>
                    <w:t>EJ Curtis</w:t>
                  </w:r>
                  <w:r w:rsidRPr="0005639F">
                    <w:rPr>
                      <w:rFonts w:ascii="Times New Roman" w:eastAsia="Times New Roman" w:hAnsi="Times New Roman" w:cs="Times New Roman"/>
                      <w:sz w:val="20"/>
                      <w:szCs w:val="20"/>
                    </w:rPr>
                    <w:br/>
                    <w:t>Mentors: Dr. Samantha Glazier and Dr. Adam Hill</w:t>
                  </w:r>
                  <w:r w:rsidRPr="0005639F">
                    <w:rPr>
                      <w:rFonts w:ascii="Times New Roman" w:eastAsia="Times New Roman" w:hAnsi="Times New Roman" w:cs="Times New Roman"/>
                      <w:sz w:val="20"/>
                      <w:szCs w:val="20"/>
                    </w:rPr>
                    <w:br/>
                    <w:t>St. Lawrence University</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Cancer is a disease that is characterized by the undeterred replication of cells. Many proteins are needed in order to synthesize new DNA, allowing cell replication to occur. One such protein, topoisomerase, is responsible for alleviating supercoiling in the replication process. Doxorubicin, a drug in the anthracycline family, has a planar conformation allowing for intercalation between the DNA base pairs of the parent strand, thus inhibiting topoisomerase binding. </w:t>
                  </w:r>
                  <w:r w:rsidRPr="0005639F">
                    <w:rPr>
                      <w:rFonts w:ascii="Times New Roman" w:eastAsia="Times New Roman" w:hAnsi="Times New Roman" w:cs="Times New Roman"/>
                      <w:sz w:val="20"/>
                      <w:szCs w:val="20"/>
                    </w:rPr>
                    <w:br/>
                    <w:t>Several studies have discussed thermodynamic and kinetic data for the intercalation of doxorubicin and other anthracyclines with DNA. Very few of these studies, however, have looked at the role of water in the binding process. In our lab, fluorescence titrations using the osmotic stress method show that when doxorubicin is binding to AT rich DNA segments no water is gained or expelled from the molecule, whereas with GC rich DNA, 22 water molecules are lost and when binding occurs in calfthymus DNA, 13 water molecules are gained upon complex formation.</w:t>
                  </w:r>
                  <w:r w:rsidRPr="0005639F">
                    <w:rPr>
                      <w:rFonts w:ascii="Times New Roman" w:eastAsia="Times New Roman" w:hAnsi="Times New Roman" w:cs="Times New Roman"/>
                      <w:sz w:val="20"/>
                      <w:szCs w:val="20"/>
                    </w:rPr>
                    <w:br/>
                    <w:t>These studies seek to use time-lapse fluorescence spectroscopy as well as density functional quantum modeling to learn more about the energetics of hydration. Water resides in the minor groove of DNA and interacts with proteins as they bind, often forming favorable interactions with the polypeptides. This hydration spine could potentially have a substantial impact on the stability as well as the selectivity of intercalation, specifically by interacting with the sugar moiety that is attached to the chromophore of Doxorubicin.</w:t>
                  </w:r>
                  <w:r w:rsidRPr="0005639F">
                    <w:rPr>
                      <w:rFonts w:ascii="Times New Roman" w:eastAsia="Times New Roman" w:hAnsi="Times New Roman" w:cs="Times New Roman"/>
                      <w:sz w:val="20"/>
                      <w:szCs w:val="20"/>
                    </w:rPr>
                    <w:br/>
                    <w:t>We plan to accomplish this by creating transition states with molecular modeling and computing the minimized energies of these structures with QChem. We will then use time-lapse fluorimetry with picoseconds resolution to determine the energy of transition states with different levels of hydration of the DNA helix. These experimental results can then be compared to the theoretical values for the doxorubicin-DNA complex with systematic addition of water molecules.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2216740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Laureana Muok</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Academy of Science Charter School,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5" w:anchor="2216740" w:history="1">
                    <w:r w:rsidRPr="0005639F">
                      <w:rPr>
                        <w:rFonts w:ascii="Times New Roman" w:eastAsia="Times New Roman" w:hAnsi="Times New Roman" w:cs="Times New Roman"/>
                        <w:color w:val="0000FF"/>
                        <w:sz w:val="20"/>
                        <w:szCs w:val="20"/>
                        <w:u w:val="single"/>
                      </w:rPr>
                      <w:t>The prevalence of batrachochytrium dendrobatidis in Oswego County, NY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fungus </w:t>
                  </w:r>
                  <w:r w:rsidRPr="0005639F">
                    <w:rPr>
                      <w:rFonts w:ascii="Times New Roman" w:eastAsia="Times New Roman" w:hAnsi="Times New Roman" w:cs="Times New Roman"/>
                      <w:i/>
                      <w:iCs/>
                      <w:sz w:val="20"/>
                      <w:szCs w:val="20"/>
                    </w:rPr>
                    <w:t>Batrachochytrium dendrobatidis</w:t>
                  </w:r>
                  <w:r w:rsidRPr="0005639F">
                    <w:rPr>
                      <w:rFonts w:ascii="Times New Roman" w:eastAsia="Times New Roman" w:hAnsi="Times New Roman" w:cs="Times New Roman"/>
                      <w:sz w:val="20"/>
                      <w:szCs w:val="20"/>
                    </w:rPr>
                    <w:t xml:space="preserve"> is a causal agent that has played a part in global amphibian declines. In this study, we documented its prevalence in Oswego County, NY. With an aim toward an increased understanding of </w:t>
                  </w:r>
                  <w:r w:rsidRPr="0005639F">
                    <w:rPr>
                      <w:rFonts w:ascii="Times New Roman" w:eastAsia="Times New Roman" w:hAnsi="Times New Roman" w:cs="Times New Roman"/>
                      <w:i/>
                      <w:iCs/>
                      <w:sz w:val="20"/>
                      <w:szCs w:val="20"/>
                    </w:rPr>
                    <w:t>B. dendrobatidis</w:t>
                  </w:r>
                  <w:r w:rsidRPr="0005639F">
                    <w:rPr>
                      <w:rFonts w:ascii="Times New Roman" w:eastAsia="Times New Roman" w:hAnsi="Times New Roman" w:cs="Times New Roman"/>
                      <w:sz w:val="20"/>
                      <w:szCs w:val="20"/>
                    </w:rPr>
                    <w:t xml:space="preserve"> prevalence locally, we collected amphibians in April, May, June, and July 2014 at different locations in Oswego County, NY, and took swabs of the ventral surfaces of all individuals caught. We then performed Polymerase chain reactions on DNA extracted from the swabs and compared them with </w:t>
                  </w:r>
                  <w:r w:rsidRPr="0005639F">
                    <w:rPr>
                      <w:rFonts w:ascii="Times New Roman" w:eastAsia="Times New Roman" w:hAnsi="Times New Roman" w:cs="Times New Roman"/>
                      <w:i/>
                      <w:iCs/>
                      <w:sz w:val="20"/>
                      <w:szCs w:val="20"/>
                    </w:rPr>
                    <w:t>B. dendrobatidis</w:t>
                  </w:r>
                  <w:r w:rsidRPr="0005639F">
                    <w:rPr>
                      <w:rFonts w:ascii="Times New Roman" w:eastAsia="Times New Roman" w:hAnsi="Times New Roman" w:cs="Times New Roman"/>
                      <w:sz w:val="20"/>
                      <w:szCs w:val="20"/>
                    </w:rPr>
                    <w:t xml:space="preserve"> control DNA. Our data showed that 6.3% of amphibians sampled carried the fungus, with prevalence ranging between 6.4–28.6% for Eurycea bislineata (Two-lined Salamanders), Notophthalmus viridescens (Eastern Newts) Lithobates catesbeianus (Bull Frogs), Lithobates clamitans (Green Frogs), and Rana sylvatica (Wood Frogs). The documented commonness levels in different species, combined with the lack of observed mass amphibian declines suggest that the fungus may be endemic in local amphibian populations, but additional research is needed to establish the relative importance of this data for the health of amphibian populations in Oswego County and NYS.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2263651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Sung Won Oh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Jinglin Fu</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Rutgers University - Camden, Cherry Hill, NJ, United States. </w:t>
                  </w:r>
                  <w:r w:rsidRPr="0005639F">
                    <w:rPr>
                      <w:rFonts w:ascii="Times New Roman" w:eastAsia="Times New Roman" w:hAnsi="Times New Roman" w:cs="Times New Roman"/>
                      <w:sz w:val="20"/>
                      <w:szCs w:val="20"/>
                    </w:rPr>
                    <w:br/>
                    <w:t xml:space="preserve">2. Chemistry, Rutgers University - Camden, Camden,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6" w:anchor="2263651" w:history="1">
                    <w:r w:rsidRPr="0005639F">
                      <w:rPr>
                        <w:rFonts w:ascii="Times New Roman" w:eastAsia="Times New Roman" w:hAnsi="Times New Roman" w:cs="Times New Roman"/>
                        <w:color w:val="0000FF"/>
                        <w:sz w:val="20"/>
                        <w:szCs w:val="20"/>
                        <w:u w:val="single"/>
                      </w:rPr>
                      <w:t>Logic-Gated Multienzyme Pathways Circuits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In biochemical pathways, many enzyme functions are regulated by inhibition byproducts, or product feedback inhibition. In this project, artificial swinging arms are designed to channel the transfer of intermediates in multienzyme reactions. Swinging arms play important role in multi-step, catalytic transformations in multienzyme complexes. DNA logic-gated circuits will be implemented to swinging arms to control the release and activation of swinging arms to control the transport of intermediates in enzyme reactions. Logic gate circuits are composed of single-stranded DNA molecules to regulate the pathway activities and specificities. In order to regulate the multienzyme pathway, logic gate circuits will be implemented on DNA nanostructures for controlling and switching pathway activities to produce different final products depending on specific inputs. An ‘AND’ logic-gated swinging arm (</w:t>
                  </w:r>
                  <w:r w:rsidRPr="0005639F">
                    <w:rPr>
                      <w:rFonts w:ascii="Times New Roman" w:eastAsia="Times New Roman" w:hAnsi="Times New Roman" w:cs="Times New Roman"/>
                      <w:b/>
                      <w:bCs/>
                      <w:sz w:val="20"/>
                      <w:szCs w:val="20"/>
                    </w:rPr>
                    <w:t xml:space="preserve">Figure 1) </w:t>
                  </w:r>
                  <w:r w:rsidRPr="0005639F">
                    <w:rPr>
                      <w:rFonts w:ascii="Times New Roman" w:eastAsia="Times New Roman" w:hAnsi="Times New Roman" w:cs="Times New Roman"/>
                      <w:sz w:val="20"/>
                      <w:szCs w:val="20"/>
                    </w:rPr>
                    <w:t xml:space="preserve">is designed then native polyacrylamide gel electrophoresis (PAGE) is used to characterize the opening and closing of logic-gate circuits for release of swinging arm. Currently, DNA-based logic </w:t>
                  </w:r>
                  <w:r w:rsidRPr="0005639F">
                    <w:rPr>
                      <w:rFonts w:ascii="Times New Roman" w:eastAsia="Times New Roman" w:hAnsi="Times New Roman" w:cs="Times New Roman"/>
                      <w:sz w:val="20"/>
                      <w:szCs w:val="20"/>
                    </w:rPr>
                    <w:lastRenderedPageBreak/>
                    <w:t>gated circuits for controlling swinging arms has been created with toehold design for DNA strand displacement, resulting in releasing of swinging arm. After logic-gated circuits are controlled, it will be characterized using FRET (fluorescence resonance energy transfer microscopy) to evaluate the release of the swinging arm and the activation of enzyme pathway by input of two key strands. Eventually, logic-gated NAD-swinging arm will be implemented onto 2D rectangular DNA origami structure and formation of structures will be characterized using AFM (atomic force microscopy) and TEM (transmission electron microscopy).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2268200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Lemire Rowser-Grohol</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Nin N. Dingra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Kaitlyn McCue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Department, SUNY Oswego, Oswego, NY, United States. </w:t>
                  </w:r>
                  <w:r w:rsidRPr="0005639F">
                    <w:rPr>
                      <w:rFonts w:ascii="Times New Roman" w:eastAsia="Times New Roman" w:hAnsi="Times New Roman" w:cs="Times New Roman"/>
                      <w:sz w:val="20"/>
                      <w:szCs w:val="20"/>
                    </w:rPr>
                    <w:br/>
                    <w:t xml:space="preserve">2. Syracuse Academy of Science Charter School,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7" w:anchor="2268200" w:history="1">
                    <w:r w:rsidRPr="0005639F">
                      <w:rPr>
                        <w:rFonts w:ascii="Times New Roman" w:eastAsia="Times New Roman" w:hAnsi="Times New Roman" w:cs="Times New Roman"/>
                        <w:color w:val="0000FF"/>
                        <w:sz w:val="20"/>
                        <w:szCs w:val="20"/>
                        <w:u w:val="single"/>
                      </w:rPr>
                      <w:t>Bactericidal Effect of Hexamethylenetetramine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Escherichia coli lives in the intestines of animals and humans and most of E. coli are harmless and important to the human intestinal tract. Some E. coli are pathogenic, they can cause illness which includes diarrhea which can come from contaminated water and food or though contact with other organisms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rPr>
                    <w:br/>
                    <w:t>Hexamethylenetetramine (HMTA) is a organic compound with the formula (CH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6</w:t>
                  </w:r>
                  <w:r w:rsidRPr="0005639F">
                    <w:rPr>
                      <w:rFonts w:ascii="Times New Roman" w:eastAsia="Times New Roman" w:hAnsi="Times New Roman" w:cs="Times New Roman"/>
                      <w:sz w:val="20"/>
                      <w:szCs w:val="20"/>
                    </w:rPr>
                    <w:t>N</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HMTA can be toxic at high levels of dosage and it can be harmful to the skin and eyes. It is usually found in a crystal form, it is hazardous with carbon monoxide, carbon dioxide and nitrogen oxides and highly flammable.</w:t>
                  </w:r>
                  <w:r w:rsidRPr="0005639F">
                    <w:rPr>
                      <w:rFonts w:ascii="Times New Roman" w:eastAsia="Times New Roman" w:hAnsi="Times New Roman" w:cs="Times New Roman"/>
                      <w:sz w:val="20"/>
                      <w:szCs w:val="20"/>
                    </w:rPr>
                    <w:br/>
                    <w:t xml:space="preserve">In this experiment we tested the bactericidal effect of HMTA on the bacteria </w:t>
                  </w:r>
                  <w:r w:rsidRPr="0005639F">
                    <w:rPr>
                      <w:rFonts w:ascii="Times New Roman" w:eastAsia="Times New Roman" w:hAnsi="Times New Roman" w:cs="Times New Roman"/>
                      <w:i/>
                      <w:iCs/>
                      <w:sz w:val="20"/>
                      <w:szCs w:val="20"/>
                    </w:rPr>
                    <w:t>E. coli</w:t>
                  </w:r>
                  <w:r w:rsidRPr="0005639F">
                    <w:rPr>
                      <w:rFonts w:ascii="Times New Roman" w:eastAsia="Times New Roman" w:hAnsi="Times New Roman" w:cs="Times New Roman"/>
                      <w:sz w:val="20"/>
                      <w:szCs w:val="20"/>
                    </w:rPr>
                    <w:t>. HMTA is known to hydrolyze to formaldehyde and ammonia,</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xml:space="preserve"> which negatively affects </w:t>
                  </w:r>
                  <w:r w:rsidRPr="0005639F">
                    <w:rPr>
                      <w:rFonts w:ascii="Times New Roman" w:eastAsia="Times New Roman" w:hAnsi="Times New Roman" w:cs="Times New Roman"/>
                      <w:i/>
                      <w:iCs/>
                      <w:sz w:val="20"/>
                      <w:szCs w:val="20"/>
                    </w:rPr>
                    <w:t xml:space="preserve">E. coli </w:t>
                  </w:r>
                  <w:r w:rsidRPr="0005639F">
                    <w:rPr>
                      <w:rFonts w:ascii="Times New Roman" w:eastAsia="Times New Roman" w:hAnsi="Times New Roman" w:cs="Times New Roman"/>
                      <w:sz w:val="20"/>
                      <w:szCs w:val="20"/>
                    </w:rPr>
                    <w:t>bacteria growth. HMTA has been used as a medicine for treating urinary tract infections.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b/>
                      <w:bCs/>
                      <w:sz w:val="20"/>
                      <w:szCs w:val="20"/>
                    </w:rPr>
                    <w:t xml:space="preserve">References </w:t>
                  </w:r>
                  <w:r w:rsidRPr="0005639F">
                    <w:rPr>
                      <w:rFonts w:ascii="Times New Roman" w:eastAsia="Times New Roman" w:hAnsi="Times New Roman" w:cs="Times New Roman"/>
                      <w:sz w:val="20"/>
                      <w:szCs w:val="20"/>
                    </w:rPr>
                    <w:br/>
                    <w:t>1. www.cdc.gov/ecoli/general/</w:t>
                  </w:r>
                  <w:r w:rsidRPr="0005639F">
                    <w:rPr>
                      <w:rFonts w:ascii="Times New Roman" w:eastAsia="Times New Roman" w:hAnsi="Times New Roman" w:cs="Times New Roman"/>
                      <w:sz w:val="20"/>
                      <w:szCs w:val="20"/>
                    </w:rPr>
                    <w:br/>
                    <w:t>2. http://www.epa.gov/opprd001/inerts/hexamethyl.pdf</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2268535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Samuel Lothridge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Gregory Simone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Katherine Hicks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Cortland, Lisle,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8" w:anchor="2268535" w:history="1">
                    <w:r w:rsidRPr="0005639F">
                      <w:rPr>
                        <w:rFonts w:ascii="Times New Roman" w:eastAsia="Times New Roman" w:hAnsi="Times New Roman" w:cs="Times New Roman"/>
                        <w:b/>
                        <w:bCs/>
                        <w:color w:val="0000FF"/>
                        <w:sz w:val="20"/>
                        <w:szCs w:val="20"/>
                        <w:u w:val="single"/>
                      </w:rPr>
                      <w:t>Substrate Specificity of NicC: Determination of Dissociation Constants for Substrate Analogs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Our research goal was to determine disassociation constants (K</w:t>
                  </w:r>
                  <w:r w:rsidRPr="0005639F">
                    <w:rPr>
                      <w:rFonts w:ascii="Times New Roman" w:eastAsia="Times New Roman" w:hAnsi="Times New Roman" w:cs="Times New Roman"/>
                      <w:sz w:val="20"/>
                      <w:szCs w:val="20"/>
                      <w:vertAlign w:val="subscript"/>
                    </w:rPr>
                    <w:t>d</w:t>
                  </w:r>
                  <w:r w:rsidRPr="0005639F">
                    <w:rPr>
                      <w:rFonts w:ascii="Times New Roman" w:eastAsia="Times New Roman" w:hAnsi="Times New Roman" w:cs="Times New Roman"/>
                      <w:sz w:val="20"/>
                      <w:szCs w:val="20"/>
                    </w:rPr>
                    <w:t xml:space="preserve">) for substrate analogs of 6-hydroxynicotinate-3-monooxygenase (NicC). NicC catalyzes the oxidative decarboxylation of 6-hydroxynicotinic acid (6-HNA) to 2,5-dihydroxypyridine in an aerobic nicotinate degradation pathway. NicC is present in the gram negative bacteria </w:t>
                  </w:r>
                  <w:r w:rsidRPr="0005639F">
                    <w:rPr>
                      <w:rFonts w:ascii="Times New Roman" w:eastAsia="Times New Roman" w:hAnsi="Times New Roman" w:cs="Times New Roman"/>
                      <w:i/>
                      <w:iCs/>
                      <w:sz w:val="20"/>
                      <w:szCs w:val="20"/>
                    </w:rPr>
                    <w:t xml:space="preserve">Pseudomonas </w:t>
                  </w:r>
                  <w:r w:rsidRPr="0005639F">
                    <w:rPr>
                      <w:rFonts w:ascii="Times New Roman" w:eastAsia="Times New Roman" w:hAnsi="Times New Roman" w:cs="Times New Roman"/>
                      <w:sz w:val="20"/>
                      <w:szCs w:val="20"/>
                    </w:rPr>
                    <w:t>putida, which are antibiotic resistant bacteria that are able to survive in harsh environmental and cellular conditions. To determine the substrate specificity of NicC, the binding of the natural substrate, 6-HNA, and a series of substrate analogs, including 6-chloronicotinic acid and 2-hydroxy-1-napthoic acid, were measured using fluorescence resonance energy transfer (FRET) based binding assays. Our data indicate that 6-chloronicotinic acid has a similar dissociation constant as the natural substrate. However, the bicyclic analog 2-hydroxy-1-napthoic acid binds NicC ~10 fold weaker than the monocyclic substrates. These data provide strong preliminary data into the substrate specificity of NicC. Specifically, our data demonstrate that the identity of the substituent on carbon-6 has minimal effect on binding affinity suggesting that substrate specificity might be based on reactivity, rather than affinity.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0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2268900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Wei Feng Zhen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Katherine Hicks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Cortland, Cortland,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39" w:anchor="2268900" w:history="1">
                    <w:r w:rsidRPr="0005639F">
                      <w:rPr>
                        <w:rFonts w:ascii="Times New Roman" w:eastAsia="Times New Roman" w:hAnsi="Times New Roman" w:cs="Times New Roman"/>
                        <w:color w:val="0000FF"/>
                        <w:sz w:val="20"/>
                        <w:szCs w:val="20"/>
                        <w:u w:val="single"/>
                      </w:rPr>
                      <w:t>Binding Affinity Characterization of NicC for its native Substrate and Nicotinic Acid Substrate Analog</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Recently, a pathway for nicotinic acid (NA) degradation was determined in </w:t>
                  </w:r>
                  <w:r w:rsidRPr="0005639F">
                    <w:rPr>
                      <w:rFonts w:ascii="Times New Roman" w:eastAsia="Times New Roman" w:hAnsi="Times New Roman" w:cs="Times New Roman"/>
                      <w:i/>
                      <w:iCs/>
                      <w:sz w:val="20"/>
                      <w:szCs w:val="20"/>
                    </w:rPr>
                    <w:t>Pseduomonas putida</w:t>
                  </w:r>
                  <w:r w:rsidRPr="0005639F">
                    <w:rPr>
                      <w:rFonts w:ascii="Times New Roman" w:eastAsia="Times New Roman" w:hAnsi="Times New Roman" w:cs="Times New Roman"/>
                      <w:sz w:val="20"/>
                      <w:szCs w:val="20"/>
                    </w:rPr>
                    <w:t xml:space="preserve"> KT2440. One of the enzymes in this pathway, NicC, catalyzes the conversion of 6-hydroxnicotinic acid (6-HNA) to 2,5-dihydroxypryidine (DHP). Here we describe the biochemical characterization of this enzyme. Specifically, we have measured the binding affinity of NicC for its substrate, 6-HNA, and a substrate analog, NA. Binding affinities were measured using a fluorescence resonance energy transfer (FRET) based assay. The resulting dissociation constants indicate that 6-HNA binds ~30-fold more tightly to the enzyme than NA indicating that a substituent at the 3-position of the substrate is necessary for efficient binding. Future work will involve measuring kinetic constants with these compounds with the goal of determining a catalytic mechanism for the NicC-catalyzed reaction.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2284852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Allyson T. Farrier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Paige E. Sheridan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Lauren A. Levine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Physical Science Department, Kutztown University, Kutztown,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0" w:anchor="2284852" w:history="1">
                    <w:r w:rsidRPr="0005639F">
                      <w:rPr>
                        <w:rFonts w:ascii="Times New Roman" w:eastAsia="Times New Roman" w:hAnsi="Times New Roman" w:cs="Times New Roman"/>
                        <w:color w:val="0000FF"/>
                        <w:sz w:val="20"/>
                        <w:szCs w:val="20"/>
                        <w:u w:val="single"/>
                      </w:rPr>
                      <w:t>Probing the interactions between Fmoc Protected Backbone and DNA via Spectroscopy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interactions between a 24 base pair duplex DNA strand and a fluorenylmethyloxycarbonyl (Fmoc) and tert-butoxide (OtBu) protected aminoethylglycine (aeg) backbone was observed through the use of fluorescence and absorbance spectrophotometry as well as gel electrophoresis. FMOC-aeg-OtBu has the potential to interact with DNA through intercalation (FMOC) and/or groove binding (aeg-backbone) which may disrupt the conformation and functionality of the DNA helix. Methods of analysis included titrating a backbone solution with DNA which was spectroscopically monitored at varying points of saturation. Quenching of the FMOC tag upon interaction with the DNA was observed through fluorescence spectroscopy. An agarose and polyacrylamide gels were constructed to probe the interactions between a DNA strand and the backbone using gel red indicator as an imaging agent. Future studies include addition of a pyridine moiety and subsequently tethered platinum terpyridine pyridine residues to the backbone to further observe intercalation effects with more complex assemblies.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2288840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Benjamin Jung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Adam H. Steeves</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Biology; Chemistry, Ithaca College, Ithaca, NY, United States. </w:t>
                  </w:r>
                  <w:r w:rsidRPr="0005639F">
                    <w:rPr>
                      <w:rFonts w:ascii="Times New Roman" w:eastAsia="Times New Roman" w:hAnsi="Times New Roman" w:cs="Times New Roman"/>
                      <w:sz w:val="20"/>
                      <w:szCs w:val="20"/>
                    </w:rPr>
                    <w:br/>
                    <w:t xml:space="preserve">2. Chemistry, Ithaca College,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1" w:anchor="2288840" w:history="1">
                    <w:r w:rsidRPr="0005639F">
                      <w:rPr>
                        <w:rFonts w:ascii="Times New Roman" w:eastAsia="Times New Roman" w:hAnsi="Times New Roman" w:cs="Times New Roman"/>
                        <w:color w:val="0000FF"/>
                        <w:sz w:val="20"/>
                        <w:szCs w:val="20"/>
                        <w:u w:val="single"/>
                      </w:rPr>
                      <w:t>Computational prediction of acyl homoserine lactone quorum sensing autoinducer specificity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Quorum sensing is a mode of cell-cell communication by which bacteria pass information to other members of the local population. Each bacterium secretes signaling molecules called autoinducers into the environment that bring about signaling responses. Bacteria can detect local population density through sensing autoinducer concentration and respond by adjusting gene expression. Interestingly, different strains of bacteria use different sets of autoinducers. Therefore, identifying species-specific autoinducers could contribute to better understanding of how bacteria communicate with one another in environments when multiple species of microorganisms coexist. We focus on acyl homoserine lactone (AHLs) autoinducers used in gram-negative bacteria. Each species must have a receptor protein that detects autoinducers and triggers changes in gene expression. Many receptor proteins from autoinducer binding domain family (PF3472) do not have known ligands. Hence, we aim to predict autoinducer ligands sensed by different proteins through molecular docking into homology models in order to score potential ligand-receptor affinities.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2288980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Britannia Smith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Fadi Bou-Abdallah</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SUNY Potsdam, Rome, NY, United States. </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lastRenderedPageBreak/>
                    <w:t xml:space="preserve">2. Stowell Hall, SUNY Potsdam-Chemistry Dept,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TITLE: </w:t>
                  </w:r>
                  <w:hyperlink r:id="rId342" w:anchor="2288980" w:history="1">
                    <w:r w:rsidRPr="0005639F">
                      <w:rPr>
                        <w:rFonts w:ascii="Times New Roman" w:eastAsia="Times New Roman" w:hAnsi="Times New Roman" w:cs="Times New Roman"/>
                        <w:color w:val="0000FF"/>
                        <w:sz w:val="20"/>
                        <w:szCs w:val="20"/>
                        <w:u w:val="single"/>
                      </w:rPr>
                      <w:t>Effect of Several Ionic Liquids on Human Serum Albumin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Curcumin is a natural polyphenol a dietary spice and herbal supplement extracted from the plant </w:t>
                  </w:r>
                  <w:r w:rsidRPr="0005639F">
                    <w:rPr>
                      <w:rFonts w:ascii="Times New Roman" w:eastAsia="Times New Roman" w:hAnsi="Times New Roman" w:cs="Times New Roman"/>
                      <w:i/>
                      <w:iCs/>
                      <w:sz w:val="20"/>
                      <w:szCs w:val="20"/>
                    </w:rPr>
                    <w:t>Curcuma longa</w:t>
                  </w:r>
                  <w:r w:rsidRPr="0005639F">
                    <w:rPr>
                      <w:rFonts w:ascii="Times New Roman" w:eastAsia="Times New Roman" w:hAnsi="Times New Roman" w:cs="Times New Roman"/>
                      <w:sz w:val="20"/>
                      <w:szCs w:val="20"/>
                    </w:rPr>
                    <w:t xml:space="preserve"> and is widely used in Southeast Asia, China and India in food preparation and for medicinal purposes. Due to its hydrophobic nature, curcumin is poorly soluble in water and as a consequence suffers from poor absorption and bioavailability. To improve the bioavailability and health benefits of curcumin, numerous promising approaches have been employed including complexation with proteins and proteins isolates, phospholipid and cyclodextrin and also encapsulation with nanoparticle, liposome, micelle and hydrogel. On the other hand, ionic liquids (ILs) have been exploited to improve the absorption of poorly water-soluble drugs. Here we propose using ILs as a means to enhance curcumin solubility and absorption by exploiting some of their unique solvent properties. In doing this we examine the interactions of ILs with both Curcumin and Human Serum Albumin.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2289847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Sam E. Sprague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Tom Giffune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Britannia Smith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Abigail Widrick</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SUNY Potsdam, Rome, NY, United States. </w:t>
                  </w:r>
                  <w:r w:rsidRPr="0005639F">
                    <w:rPr>
                      <w:rFonts w:ascii="Times New Roman" w:eastAsia="Times New Roman" w:hAnsi="Times New Roman" w:cs="Times New Roman"/>
                      <w:sz w:val="20"/>
                      <w:szCs w:val="20"/>
                    </w:rPr>
                    <w:br/>
                    <w:t xml:space="preserve">2. Chemistry, SUNY Potsdam,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3" w:anchor="2289847" w:history="1">
                    <w:r w:rsidRPr="0005639F">
                      <w:rPr>
                        <w:rFonts w:ascii="Times New Roman" w:eastAsia="Times New Roman" w:hAnsi="Times New Roman" w:cs="Times New Roman"/>
                        <w:color w:val="0000FF"/>
                        <w:sz w:val="20"/>
                        <w:szCs w:val="20"/>
                        <w:u w:val="single"/>
                      </w:rPr>
                      <w:t>The Thermodynamics of Drug-Protein Interactions.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Serum albumins are the most abundant proteins in blood serums that are able to bind a large number of ligands and drugs. Non Steroidal Anti Inflammatory Drugs (NSAIDS) such as ibuprofen, naproxen, and diclofenac are common over the counter drugs purchased and consumed everyday in bulk. Characterizing the nature and magnitude of drug–protein interactions is essential to the understanding of the pharmacokinetics and pharmacodynamics of the drug. Using Isothermal Titration Calorimetry (ITC), Differential Scanning Calorimetry (DSC) and fluorescence spectroscopy, the thermodynamic binding parameters of Naproxen and Diclofenac interaction with bovine and human serum albumin have been determined. This detailed quantitative analysis allows for a better understanding of the drug pharmacokinetics, adverse effects and therapeutic efficacy.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2289935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John Collins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Jinglin Fu</w:t>
                  </w:r>
                  <w:r w:rsidRPr="0005639F">
                    <w:rPr>
                      <w:rFonts w:ascii="Times New Roman" w:eastAsia="Times New Roman" w:hAnsi="Times New Roman" w:cs="Times New Roman"/>
                      <w:sz w:val="20"/>
                      <w:szCs w:val="20"/>
                      <w:vertAlign w:val="superscript"/>
                    </w:rPr>
                    <w:t>1, 2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Chemistry, Rutgers University - Camden, Woodbury, NJ, United States. </w:t>
                  </w:r>
                  <w:r w:rsidRPr="0005639F">
                    <w:rPr>
                      <w:rFonts w:ascii="Times New Roman" w:eastAsia="Times New Roman" w:hAnsi="Times New Roman" w:cs="Times New Roman"/>
                      <w:sz w:val="20"/>
                      <w:szCs w:val="20"/>
                    </w:rPr>
                    <w:br/>
                    <w:t xml:space="preserve">2. Center for Computational and Integrative Biology, Rutgers University, Camden,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4" w:anchor="2289935" w:history="1">
                    <w:r w:rsidRPr="0005639F">
                      <w:rPr>
                        <w:rFonts w:ascii="Times New Roman" w:eastAsia="Times New Roman" w:hAnsi="Times New Roman" w:cs="Times New Roman"/>
                        <w:b/>
                        <w:bCs/>
                        <w:color w:val="0000FF"/>
                        <w:sz w:val="20"/>
                        <w:szCs w:val="20"/>
                        <w:u w:val="single"/>
                      </w:rPr>
                      <w:t>Characterizing Transhydrogenase Activity of the Flavin-bound Enzyme Diaphorase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Diaphorase is a FMN bound enzyme belonging to the class of enzymes known as oxioreductases. This enzyme has been known, for some time, to catalyze the energetically favorable (∆G &lt; 0) oxidation of the reduced forms of nicotinamide adenine dinucleotide (NAD), and nicotinamide adenine dinucleotide phosphate (NADP), with dye molecules typically acting as the electron acceptors. In more recent years, this enzyme was found to also function as a peroxidase, and reduce molecules of oxygen (O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to form hydrogen peroxide (H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In the lab, we have discovered that Diaphorase may also have the potential to function as a transhydrogenase when it is subjected to an anaerobic environment. A transhydrogenase is an enzyme that can transfer electrons between NAD and NADP, in which one of the two substrates acts as the electron donor, and the other as the electron acceptor (see figure). What makes this interesting, is that this process occurs at thermo-equilibrium (∆G = 0), where energy is neither gained nor lost from the system. If Diaphorase can function as a transhydrogenase, then it can be used to engineer highly energy efficient enzymatic fuel cells, powered by fuels such as sugar or alcohol. Here we will show direct evidence with quantitative analysis to support the claim that Diaphorase has the potential to function as a transhydrogenase.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2290061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Benjamin Jung</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Biology; Chemistry, Ithaca College,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5" w:anchor="2290061" w:history="1">
                    <w:r w:rsidRPr="0005639F">
                      <w:rPr>
                        <w:rFonts w:ascii="Times New Roman" w:eastAsia="Times New Roman" w:hAnsi="Times New Roman" w:cs="Times New Roman"/>
                        <w:color w:val="0000FF"/>
                        <w:sz w:val="20"/>
                        <w:szCs w:val="20"/>
                        <w:u w:val="single"/>
                      </w:rPr>
                      <w:t xml:space="preserve">Investigating the Regulation of Splicing of RPS30 Paralogs That Arose From Genome Duplication in </w:t>
                    </w:r>
                    <w:r w:rsidRPr="0005639F">
                      <w:rPr>
                        <w:rFonts w:ascii="Times New Roman" w:eastAsia="Times New Roman" w:hAnsi="Times New Roman" w:cs="Times New Roman"/>
                        <w:i/>
                        <w:iCs/>
                        <w:color w:val="0000FF"/>
                        <w:sz w:val="20"/>
                        <w:szCs w:val="20"/>
                        <w:u w:val="single"/>
                      </w:rPr>
                      <w:t>S. cerevisiae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Regulation of gene expression is a vital process in life, from controlling cell’s structure and function, to governing development, as well as responding to the environment. Gene expression refers to the flow of genetic information stored in DNA, which is transcribed into mRNA, then translated into functional proteins. Eukaryotic mRNAs have non-protein coding sequences (introns) that need to be removed. This is the process called RNA splicing, executed by the spliceosome. RNA splicing is an important regulatory step to ensure proper gene expression.</w:t>
                  </w:r>
                  <w:r w:rsidRPr="0005639F">
                    <w:rPr>
                      <w:rFonts w:ascii="Times New Roman" w:eastAsia="Times New Roman" w:hAnsi="Times New Roman" w:cs="Times New Roman"/>
                      <w:sz w:val="20"/>
                      <w:szCs w:val="20"/>
                    </w:rPr>
                    <w:br/>
                    <w:t xml:space="preserve">We use </w:t>
                  </w:r>
                  <w:r w:rsidRPr="0005639F">
                    <w:rPr>
                      <w:rFonts w:ascii="Times New Roman" w:eastAsia="Times New Roman" w:hAnsi="Times New Roman" w:cs="Times New Roman"/>
                      <w:i/>
                      <w:iCs/>
                      <w:sz w:val="20"/>
                      <w:szCs w:val="20"/>
                    </w:rPr>
                    <w:t>Saccharomyces cerevisiae</w:t>
                  </w:r>
                  <w:r w:rsidRPr="0005639F">
                    <w:rPr>
                      <w:rFonts w:ascii="Times New Roman" w:eastAsia="Times New Roman" w:hAnsi="Times New Roman" w:cs="Times New Roman"/>
                      <w:sz w:val="20"/>
                      <w:szCs w:val="20"/>
                    </w:rPr>
                    <w:t xml:space="preserve"> (budding yeast) as our model organism to study how RNA splicing is regulated. It serves as a great model since yeast has similar splicing machineries with higher order eukaryotes. Interestingly in higher eukaryotes, there are families of proteins that regulate splicing. However, yeast is not thought to have these proteins, hence is thought to lack splicing regulation. Nonetheless, previous experiments have shown evidence of selective splicing behaviors in yeast with gene paralogs, or duplicated genes. These paralog genes in the </w:t>
                  </w:r>
                  <w:r w:rsidRPr="0005639F">
                    <w:rPr>
                      <w:rFonts w:ascii="Times New Roman" w:eastAsia="Times New Roman" w:hAnsi="Times New Roman" w:cs="Times New Roman"/>
                      <w:i/>
                      <w:iCs/>
                      <w:sz w:val="20"/>
                      <w:szCs w:val="20"/>
                    </w:rPr>
                    <w:t>S. cerevisiae</w:t>
                  </w:r>
                  <w:r w:rsidRPr="0005639F">
                    <w:rPr>
                      <w:rFonts w:ascii="Times New Roman" w:eastAsia="Times New Roman" w:hAnsi="Times New Roman" w:cs="Times New Roman"/>
                      <w:sz w:val="20"/>
                      <w:szCs w:val="20"/>
                    </w:rPr>
                    <w:t xml:space="preserve"> genome have arisen from a genome duplication event 100 million years ago. These paralog genes have nearly identical exon sequences, but it has been observed that some of these genes are spliced differently under different conditions.</w:t>
                  </w:r>
                  <w:r w:rsidRPr="0005639F">
                    <w:rPr>
                      <w:rFonts w:ascii="Times New Roman" w:eastAsia="Times New Roman" w:hAnsi="Times New Roman" w:cs="Times New Roman"/>
                      <w:sz w:val="20"/>
                      <w:szCs w:val="20"/>
                    </w:rPr>
                    <w:br/>
                    <w:t>In order to study how splicing could be differently regulated in yeast despite lacking known homologous regulatory proteins, my project characterizes how splicing is regulated through quantifying the difference of splicing under various conditions. Based on findings from previous experiments, my project focuses on splicing of a paralog gene pair Ribosomal Protein S30 (RPS30A&amp;RPS30B) in a particular spliceosomal component mutant strain (</w:t>
                  </w:r>
                  <w:r w:rsidRPr="0005639F">
                    <w:rPr>
                      <w:rFonts w:ascii="Times New Roman" w:eastAsia="Times New Roman" w:hAnsi="Times New Roman" w:cs="Times New Roman"/>
                      <w:i/>
                      <w:iCs/>
                      <w:sz w:val="20"/>
                      <w:szCs w:val="20"/>
                    </w:rPr>
                    <w:t>prp16-302</w:t>
                  </w:r>
                  <w:r w:rsidRPr="0005639F">
                    <w:rPr>
                      <w:rFonts w:ascii="Times New Roman" w:eastAsia="Times New Roman" w:hAnsi="Times New Roman" w:cs="Times New Roman"/>
                      <w:sz w:val="20"/>
                      <w:szCs w:val="20"/>
                    </w:rPr>
                    <w:t xml:space="preserve">). In addition, I am examining the splicing efficiency of each of these paralog genes, and characterizing the </w:t>
                  </w:r>
                  <w:r w:rsidRPr="0005639F">
                    <w:rPr>
                      <w:rFonts w:ascii="Times New Roman" w:eastAsia="Times New Roman" w:hAnsi="Times New Roman" w:cs="Times New Roman"/>
                      <w:sz w:val="20"/>
                      <w:szCs w:val="20"/>
                    </w:rPr>
                    <w:lastRenderedPageBreak/>
                    <w:t>splicing behaviors in time course experiments after exposure to stress conditions such as cold temperature. My results reveal that RPS30A and RPS30B are spliced differently both in standard growth conditions and in response to cold temperature.</w:t>
                  </w:r>
                  <w:r w:rsidRPr="0005639F">
                    <w:rPr>
                      <w:rFonts w:ascii="Times New Roman" w:eastAsia="Times New Roman" w:hAnsi="Times New Roman" w:cs="Times New Roman"/>
                      <w:sz w:val="20"/>
                      <w:szCs w:val="20"/>
                    </w:rPr>
                    <w:br/>
                    <w:t>This work will help expand our current understanding of how splicing is regulated in eukaryotes. Understanding how RNA splicing is regulated can elucidate how abnormal splicing could lead to genetic disorders and cancer.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2291722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Biochemistry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Stephanie Wisner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Zhen Huang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Douglas S. Johnson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Cornell University, Ithaca, NY, United States. </w:t>
                  </w:r>
                  <w:r w:rsidRPr="0005639F">
                    <w:rPr>
                      <w:rFonts w:ascii="Times New Roman" w:eastAsia="Times New Roman" w:hAnsi="Times New Roman" w:cs="Times New Roman"/>
                      <w:sz w:val="20"/>
                      <w:szCs w:val="20"/>
                    </w:rPr>
                    <w:br/>
                    <w:t xml:space="preserve">2. Pfizer Worldwide Research Development, Cambridge,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6" w:anchor="2291722" w:history="1">
                    <w:r w:rsidRPr="0005639F">
                      <w:rPr>
                        <w:rFonts w:ascii="Times New Roman" w:eastAsia="Times New Roman" w:hAnsi="Times New Roman" w:cs="Times New Roman"/>
                        <w:b/>
                        <w:bCs/>
                        <w:color w:val="0000FF"/>
                        <w:sz w:val="20"/>
                        <w:szCs w:val="20"/>
                        <w:u w:val="single"/>
                      </w:rPr>
                      <w:t>Utilization of activity-based probes to study the selectivity of monoacylglycerol lipase (MAGL) inhibitors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Stephanie Wisner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Zhen Huang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Douglas S. Johnson</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b/>
                      <w:bCs/>
                      <w:i/>
                      <w:iCs/>
                      <w:sz w:val="20"/>
                      <w:szCs w:val="20"/>
                      <w:vertAlign w:val="superscript"/>
                    </w:rPr>
                    <w:t>1</w:t>
                  </w:r>
                  <w:r w:rsidRPr="0005639F">
                    <w:rPr>
                      <w:rFonts w:ascii="Times New Roman" w:eastAsia="Times New Roman" w:hAnsi="Times New Roman" w:cs="Times New Roman"/>
                      <w:i/>
                      <w:iCs/>
                      <w:sz w:val="20"/>
                      <w:szCs w:val="20"/>
                    </w:rPr>
                    <w:t xml:space="preserve">Cornell University, Ithaca, NY 14853 and </w:t>
                  </w:r>
                  <w:r w:rsidRPr="0005639F">
                    <w:rPr>
                      <w:rFonts w:ascii="Times New Roman" w:eastAsia="Times New Roman" w:hAnsi="Times New Roman" w:cs="Times New Roman"/>
                      <w:i/>
                      <w:iCs/>
                      <w:sz w:val="20"/>
                      <w:szCs w:val="20"/>
                      <w:vertAlign w:val="superscript"/>
                    </w:rPr>
                    <w:t>2</w:t>
                  </w:r>
                  <w:r w:rsidRPr="0005639F">
                    <w:rPr>
                      <w:rFonts w:ascii="Times New Roman" w:eastAsia="Times New Roman" w:hAnsi="Times New Roman" w:cs="Times New Roman"/>
                      <w:i/>
                      <w:iCs/>
                      <w:sz w:val="20"/>
                      <w:szCs w:val="20"/>
                    </w:rPr>
                    <w:t>Worldwide Medicinal Chemistry, Pfizer, Inc., Cambridge, MA 02139</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Monoacylglycerol lipase (MAGL) is a serine hydrolase that hydrolyzes 2-arachidonoylglycerol and terminates its endocannabinoid signaling cascade in the central nervous system. Inhibition of MAGL has been shown to alleviate inflammatory responses in the brain. To evaluate our MAGL inhibitors in the native biological environment and to develop chemical tools for studying MAGL biology, we have implemented a chemical biology approach. We designed clickable chemical probes and employed click chemistry-activity based protein profiling (CC-ABPP) to profile and quantitate MAGL inhibition in the whole proteome. With the clickable activity-based probes, we measured the selectivity of various chemical series in living cells. Such information allowed us to distinguish and prioritize the leading chemical series. These approaches illustrate the unique impact of chemical biology approach in better understanding of our chemical matter and off-target proteins in the native biological settings.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2287223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Allison L. Milano</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Kelley Donaghy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ESF, La Fayette, NY, United States. </w:t>
                  </w:r>
                  <w:r w:rsidRPr="0005639F">
                    <w:rPr>
                      <w:rFonts w:ascii="Times New Roman" w:eastAsia="Times New Roman" w:hAnsi="Times New Roman" w:cs="Times New Roman"/>
                      <w:sz w:val="20"/>
                      <w:szCs w:val="20"/>
                    </w:rPr>
                    <w:br/>
                    <w:t xml:space="preserve">2. Chemistry, SUNY ESF,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7" w:anchor="2287223" w:history="1">
                    <w:r w:rsidRPr="0005639F">
                      <w:rPr>
                        <w:rFonts w:ascii="Times New Roman" w:eastAsia="Times New Roman" w:hAnsi="Times New Roman" w:cs="Times New Roman"/>
                        <w:color w:val="0000FF"/>
                        <w:sz w:val="20"/>
                        <w:szCs w:val="20"/>
                        <w:u w:val="single"/>
                      </w:rPr>
                      <w:t>Making silver clay for jewelry: An inorganic laboratory experiment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r>
                  <w:r w:rsidRPr="0005639F">
                    <w:rPr>
                      <w:rFonts w:ascii="Times New Roman" w:eastAsia="Times New Roman" w:hAnsi="Times New Roman" w:cs="Times New Roman"/>
                      <w:b/>
                      <w:bCs/>
                      <w:sz w:val="20"/>
                      <w:szCs w:val="20"/>
                    </w:rPr>
                    <w:lastRenderedPageBreak/>
                    <w:t xml:space="preserve">Abstract: </w:t>
                  </w:r>
                  <w:r w:rsidRPr="0005639F">
                    <w:rPr>
                      <w:rFonts w:ascii="Times New Roman" w:eastAsia="Times New Roman" w:hAnsi="Times New Roman" w:cs="Times New Roman"/>
                      <w:sz w:val="20"/>
                      <w:szCs w:val="20"/>
                    </w:rPr>
                    <w:t>Precious metal clays (PMC) are made from waste metals used in the electronic industry such as silver, copper, bronze and gold. PMC Silver clay is a mixture of silver particles suspended within an organic binder, which burns off in the firing process to leave behind the final metal jewelry. These PMCs allow jewelers to craft pieces in a fraction of the time that traditional methods require by simply forming the piece and firing it. In this experiment silver particles were obtained through the reduction of silver nitrate with sodium borohydride. Manipulation of the concentration of silver nitrate, the speed of addition of the sodium borohydride as well as the agitation of the reaction mixture produced different particle sizes for the resulting silver powder. A scanning electron microscope (SEM) was used to determine the size of the silver particles before being made into the clay. Silver particles of ranging from 20-50 mm in diameter were obtained; the conditions and reaction details used will be discussed. Further, these silver powders were then mixed with methyl cellulose, polyethylene glycol (PEG), and water to produce a clay like material. These clay were allowed to air dry then fired to hardness in a kiln at 900°C. Finally, a laboratory experiment for undergraduates, making and utilizing these clays has also been developed, as PMCs are an accessible way of illustrating the isolation of metals from their native ores. The best conditions for silver clay production and the learning outcomes for the laboratory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2287282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Kelley Donaghy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Zachary R. Dunbar</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ESF, La Fayette, NY, United States. </w:t>
                  </w:r>
                  <w:r w:rsidRPr="0005639F">
                    <w:rPr>
                      <w:rFonts w:ascii="Times New Roman" w:eastAsia="Times New Roman" w:hAnsi="Times New Roman" w:cs="Times New Roman"/>
                      <w:sz w:val="20"/>
                      <w:szCs w:val="20"/>
                    </w:rPr>
                    <w:br/>
                    <w:t xml:space="preserve">2. Chemistry, SUNY ESF,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8" w:anchor="2287282" w:history="1">
                    <w:r w:rsidRPr="0005639F">
                      <w:rPr>
                        <w:rFonts w:ascii="Times New Roman" w:eastAsia="Times New Roman" w:hAnsi="Times New Roman" w:cs="Times New Roman"/>
                        <w:color w:val="0000FF"/>
                        <w:sz w:val="20"/>
                        <w:szCs w:val="20"/>
                        <w:u w:val="single"/>
                      </w:rPr>
                      <w:t>Reactions of fusible glass: An inorganic laboratory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Glass has been known since antiquity: early glass was created by accident when a cook fire on a sandy beach became too hot. Today modern glass is created to produce materials with specific properties, such as color, hardness or thermal resistance. Art glass is going through a renaissance with the mass production of fusible glass (glass that can be melted together at high temperature) by companies such as Bullseye Glass. One such glass is dichroic glass which is made by coating glass with microlayers of metal oxides that produce shifting colors depending up on the angle of view, hence the name dichroic, meaning two colors. Similarly, some fusible glasses known as reactive glasses contain heavy metals and main group elements; these elements form binary compounds when fused in a kiln which produce unusual colors in the fired glass. An understanding of the chemicals in the glass as well as their resulting products is a unique opportunity to teach metal composite chemistry. Sheets of dichroic glass and dichroic extract were characterized by X-Ray Fluorescence (XRF) and infrared microscopy to elucidate chemical composition, particularly the inclusion of heavy metals and main group elements. Spectral data obtained by XRF revealed that the niobium was present on the surface of the dichroic glass and that the reactive glasses contained copper, sulfur, selenium, and lead. A laboratory experiment was developed to reinforce student’s understanding of binary chemical reactions; the experiment and the resulting chemical reactions will be discussed in this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1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2288969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Brianna Kousin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Jodie T. Fahey</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Mount Saint Mary College, Monroe, NY, United States. </w:t>
                  </w:r>
                  <w:r w:rsidRPr="0005639F">
                    <w:rPr>
                      <w:rFonts w:ascii="Times New Roman" w:eastAsia="Times New Roman" w:hAnsi="Times New Roman" w:cs="Times New Roman"/>
                      <w:sz w:val="20"/>
                      <w:szCs w:val="20"/>
                    </w:rPr>
                    <w:br/>
                    <w:t xml:space="preserve">2. Division of Natural Sciences, Mount Saint Mary College, Highland,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49" w:anchor="2288969" w:history="1">
                    <w:r w:rsidRPr="0005639F">
                      <w:rPr>
                        <w:rFonts w:ascii="Times New Roman" w:eastAsia="Times New Roman" w:hAnsi="Times New Roman" w:cs="Times New Roman"/>
                        <w:b/>
                        <w:bCs/>
                        <w:color w:val="0000FF"/>
                        <w:sz w:val="20"/>
                        <w:szCs w:val="20"/>
                        <w:u w:val="single"/>
                      </w:rPr>
                      <w:t>An Exploration into the Factors Contributing to Shifting Trends in Organic Chemistry Grade Predictability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Previous studies have shown that final grades of students in organic chemistry were predictable by the fourth week of class. The past four years (Fall 2011- Fall 2014) of Organic Chemistry grades at a small, private, liberal arts college, were analyzed to compare to the pre-established trend. Previous research predicted that by administering weekly exams (9 total), individual averages would either decrease or remain the same from the 4-week mark through the end of the semester. The first three exams (4-week period) were averaged individually and compared to the final grade each student obtained in the course. When all four years were combined (n=110) it was found that 56% of students managed to increase their grades post 4-weeks. The phenomenon of grade improvement during the semester was contrary to previous research, which demonstrated a large percentage of students decreasing in grade. In an attempt to begin exploring why the trends of previously reported literature were no longer observed, surveys were developed with the specific intention of singling out potential influences on the overall grade trends.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2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2290803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Bianca Yee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Enza Lopez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Chulsung Kim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School of Science, City University of New York,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0" w:anchor="2290803" w:history="1">
                    <w:r w:rsidRPr="0005639F">
                      <w:rPr>
                        <w:rFonts w:ascii="Times New Roman" w:eastAsia="Times New Roman" w:hAnsi="Times New Roman" w:cs="Times New Roman"/>
                        <w:color w:val="0000FF"/>
                        <w:sz w:val="20"/>
                        <w:szCs w:val="20"/>
                        <w:u w:val="single"/>
                      </w:rPr>
                      <w:t>The Fate of Hexavalent Chromium in the Presence of Coffee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Hexavalent chromium [Cr(VI)] has been considered as a carcinogen. One of the common remediation technologies for the Cr(VI) contaminated water is the reduction of Cr(VI) to trivalent chromium [Cr(III)] and various reducing agents have been adopted as electron donors. In this research, coffee was introduced as a reducing agent to investigate the potential application for Cr(VI) contaminated water remediation process. Various amounts of coffee were introduced to 50 mg/liter hexavalent chromium solution and the fate of Cr(VI) was observed in the presence of coffee. The concentration of Cr(VI) was determined using diphenylcarbazide colorimetric method at a wavelength of 540nm. Experimental results confirmed that coffee can be effective alternating electron donors for the remediation of hexavalent chromium contaminated resources.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lastRenderedPageBreak/>
              <w:pict>
                <v:rect id="_x0000_i372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2290906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Chemical Education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Desiree Guzman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Ueda Cenaj</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Alba Gonzalez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Karen Alvarez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Chulsung Kim</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School of Science, City University of New York,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1" w:anchor="2290906" w:history="1">
                    <w:r w:rsidRPr="0005639F">
                      <w:rPr>
                        <w:rFonts w:ascii="Times New Roman" w:eastAsia="Times New Roman" w:hAnsi="Times New Roman" w:cs="Times New Roman"/>
                        <w:color w:val="0000FF"/>
                        <w:sz w:val="20"/>
                        <w:szCs w:val="20"/>
                        <w:u w:val="single"/>
                      </w:rPr>
                      <w:t>Effects of green and white teas on the reduction of hexavalent chromium</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Green and white teas are well known strong antioxidants which are potential electron donors. Experiments were performed under room temperature to investigate the potential application of green and white teas as electron donors for detoxification of hexavalent chromium [Cr(VI)] contaminated wastewater via reducing them to trivalent chromium [Cr(VI)]. When fresh green or white tea was introduced to 40 mL of 50 (mg/L) Cr(VI) contaminated water in the mass to volume ratio of 1/40 (g/mL), more than 80% of the initial Cr(VI) disappeared within one hour. While green tea showed slightly stronger reducing capacity than that for white tea, there was no significant difference was observed under the specific experimental conditions. The experimental findings confirmed that both green and white teas are great candidates as non-toxic, environmentally friendly reducing agents for remediation of hexavalent chromium contaminated wastewater with significantly less secondary contamination.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2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2217746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Food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Claudia E. Garcia Maso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Rasha Alquraishi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Academy of Science Charter School,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2" w:anchor="2217746" w:history="1">
                    <w:r w:rsidRPr="0005639F">
                      <w:rPr>
                        <w:rFonts w:ascii="Times New Roman" w:eastAsia="Times New Roman" w:hAnsi="Times New Roman" w:cs="Times New Roman"/>
                        <w:color w:val="0000FF"/>
                        <w:sz w:val="20"/>
                        <w:szCs w:val="20"/>
                        <w:u w:val="single"/>
                      </w:rPr>
                      <w:t>Non-chemical treatment to extend fruit shelf life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Abstract: Abstract</w:t>
                  </w:r>
                  <w:r w:rsidRPr="0005639F">
                    <w:rPr>
                      <w:rFonts w:ascii="Times New Roman" w:eastAsia="Times New Roman" w:hAnsi="Times New Roman" w:cs="Times New Roman"/>
                      <w:sz w:val="20"/>
                      <w:szCs w:val="20"/>
                    </w:rPr>
                    <w:br/>
                    <w:t>Knowing that fruits are part of our daily lives, and learning we can possibly increase the shelf life by stopping ripening appealed to our interest. In order to increase fruit shelf life, different non- chemical methods were used. The fruits underwent different procedures with UV-C treatment, dry heat, conventional microwave, and pulse microwave. DNA and protein were extracted from tomatoes and made into gels. The gels were run through the Bio Rad Power Pac basic in order to get the results. None of the protein and DNA of sample tomatoes were damaged during the process of non-chemical treatments and the browning enzyme turned off and shelf life was possibly preserved.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2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2292397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Food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Marisa Dunigan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Alessandra C. Leri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Natural Sciences, Marymount Manhattan College, New York,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3" w:anchor="2292397" w:history="1">
                    <w:r w:rsidRPr="0005639F">
                      <w:rPr>
                        <w:rFonts w:ascii="Times New Roman" w:eastAsia="Times New Roman" w:hAnsi="Times New Roman" w:cs="Times New Roman"/>
                        <w:b/>
                        <w:bCs/>
                        <w:color w:val="0000FF"/>
                        <w:sz w:val="20"/>
                        <w:szCs w:val="20"/>
                        <w:u w:val="single"/>
                      </w:rPr>
                      <w:t>Organohalogens and Antioxidants in Edible Brown Seaweeds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Marine macroalgae are known to accumulate the halogens Br and I. For example, seaweeds native to Japan have been found to contain Br at up to several weight percent. We used X-ray absorption spectroscopy to determine the absolute concentrations of organic forms of Br and Cl in five edible brown seaweeds: </w:t>
                  </w:r>
                  <w:r w:rsidRPr="0005639F">
                    <w:rPr>
                      <w:rFonts w:ascii="Times New Roman" w:eastAsia="Times New Roman" w:hAnsi="Times New Roman" w:cs="Times New Roman"/>
                      <w:i/>
                      <w:iCs/>
                      <w:sz w:val="20"/>
                      <w:szCs w:val="20"/>
                    </w:rPr>
                    <w:t>Laminaria digitata</w:t>
                  </w:r>
                  <w:r w:rsidRPr="0005639F">
                    <w:rPr>
                      <w:rFonts w:ascii="Times New Roman" w:eastAsia="Times New Roman" w:hAnsi="Times New Roman" w:cs="Times New Roman"/>
                      <w:sz w:val="20"/>
                      <w:szCs w:val="20"/>
                    </w:rPr>
                    <w:t xml:space="preserve"> (Atlantic kelp), </w:t>
                  </w:r>
                  <w:r w:rsidRPr="0005639F">
                    <w:rPr>
                      <w:rFonts w:ascii="Times New Roman" w:eastAsia="Times New Roman" w:hAnsi="Times New Roman" w:cs="Times New Roman"/>
                      <w:i/>
                      <w:iCs/>
                      <w:sz w:val="20"/>
                      <w:szCs w:val="20"/>
                    </w:rPr>
                    <w:t>Fucus vesiculosus</w:t>
                  </w:r>
                  <w:r w:rsidRPr="0005639F">
                    <w:rPr>
                      <w:rFonts w:ascii="Times New Roman" w:eastAsia="Times New Roman" w:hAnsi="Times New Roman" w:cs="Times New Roman"/>
                      <w:sz w:val="20"/>
                      <w:szCs w:val="20"/>
                    </w:rPr>
                    <w:t xml:space="preserve"> (bladderwrack), </w:t>
                  </w:r>
                  <w:r w:rsidRPr="0005639F">
                    <w:rPr>
                      <w:rFonts w:ascii="Times New Roman" w:eastAsia="Times New Roman" w:hAnsi="Times New Roman" w:cs="Times New Roman"/>
                      <w:i/>
                      <w:iCs/>
                      <w:sz w:val="20"/>
                      <w:szCs w:val="20"/>
                    </w:rPr>
                    <w:t>Pelvetia canaliculata</w:t>
                  </w:r>
                  <w:r w:rsidRPr="0005639F">
                    <w:rPr>
                      <w:rFonts w:ascii="Times New Roman" w:eastAsia="Times New Roman" w:hAnsi="Times New Roman" w:cs="Times New Roman"/>
                      <w:sz w:val="20"/>
                      <w:szCs w:val="20"/>
                    </w:rPr>
                    <w:t xml:space="preserve"> (sea sprigs)</w:t>
                  </w:r>
                  <w:r w:rsidRPr="0005639F">
                    <w:rPr>
                      <w:rFonts w:ascii="Times New Roman" w:eastAsia="Times New Roman" w:hAnsi="Times New Roman" w:cs="Times New Roman"/>
                      <w:i/>
                      <w:iCs/>
                      <w:sz w:val="20"/>
                      <w:szCs w:val="20"/>
                    </w:rPr>
                    <w:t>,</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Saccharina latissima</w:t>
                  </w:r>
                  <w:r w:rsidRPr="0005639F">
                    <w:rPr>
                      <w:rFonts w:ascii="Times New Roman" w:eastAsia="Times New Roman" w:hAnsi="Times New Roman" w:cs="Times New Roman"/>
                      <w:sz w:val="20"/>
                      <w:szCs w:val="20"/>
                    </w:rPr>
                    <w:t xml:space="preserve"> (sweet kelp), and</w:t>
                  </w:r>
                  <w:r w:rsidRPr="0005639F">
                    <w:rPr>
                      <w:rFonts w:ascii="Times New Roman" w:eastAsia="Times New Roman" w:hAnsi="Times New Roman" w:cs="Times New Roman"/>
                      <w:i/>
                      <w:iCs/>
                      <w:sz w:val="20"/>
                      <w:szCs w:val="20"/>
                    </w:rPr>
                    <w:t xml:space="preserve"> Undaria pinnatifida </w:t>
                  </w:r>
                  <w:r w:rsidRPr="0005639F">
                    <w:rPr>
                      <w:rFonts w:ascii="Times New Roman" w:eastAsia="Times New Roman" w:hAnsi="Times New Roman" w:cs="Times New Roman"/>
                      <w:sz w:val="20"/>
                      <w:szCs w:val="20"/>
                    </w:rPr>
                    <w:t>(wakame). We measured several hundred mg</w:t>
                  </w:r>
                  <w:r w:rsidRPr="0005639F">
                    <w:rPr>
                      <w:rFonts w:ascii="Times New Roman" w:eastAsia="Times New Roman" w:hAnsi="Times New Roman" w:cs="Times New Roman"/>
                      <w:sz w:val="20"/>
                      <w:szCs w:val="20"/>
                      <w:vertAlign w:val="superscript"/>
                    </w:rPr>
                    <w:t>.</w:t>
                  </w:r>
                  <w:r w:rsidRPr="0005639F">
                    <w:rPr>
                      <w:rFonts w:ascii="Times New Roman" w:eastAsia="Times New Roman" w:hAnsi="Times New Roman" w:cs="Times New Roman"/>
                      <w:sz w:val="20"/>
                      <w:szCs w:val="20"/>
                    </w:rPr>
                    <w:t>kg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of non-volatile aromatic organobromine and organochlorine in rinsed, dried particulates of all these genera. Methanolic extracts of secondary metabolites were used to assay each seaweed for antioxidant activity. We quantified antioxidant activity in terms of radical scavenging activity and reducing power using the 2,2-diphenyl-1-picrylhydrazyl (DPPH) and potassium ferricyanide assays, respectively. The seaweeds displayed antioxidant activity at varying levels, with bladderwrack exhibiting the highest activity. Edible sources of antioxidants such as these could supplement the human body’s natural antioxidant defense system to help combat oxidative stress. Extracts were also tested for total polyphenolic content using the Folin-Ciocalteu assay and antibacterial activity using the standard disc diffusion method (DDM) to determine inhibition zones.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To our knowledge, this is the first report of total concentrations of particulate aromatic organobromine and organochlorine in edible brown seaweeds. Interestingly, aromatic organohalogen concentrations in the particulates did not correlate with antioxidant activity or total polyphenolic content in the extracts. Brominated and chlorinated aromatics may serve as flavor compounds in edible seaweeds while also acting as natural antibacterial agents.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2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2280571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Meghan Monk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Christopher P. Landee</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Mark M. Turnbull</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Jan L. Wikaira</w:t>
                  </w:r>
                  <w:r w:rsidRPr="0005639F">
                    <w:rPr>
                      <w:rFonts w:ascii="Times New Roman" w:eastAsia="Times New Roman" w:hAnsi="Times New Roman" w:cs="Times New Roman"/>
                      <w:sz w:val="20"/>
                      <w:szCs w:val="20"/>
                      <w:vertAlign w:val="superscript"/>
                    </w:rPr>
                    <w:t>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Biochemistry, Clark University, Columbia, CT, United States. </w:t>
                  </w:r>
                  <w:r w:rsidRPr="0005639F">
                    <w:rPr>
                      <w:rFonts w:ascii="Times New Roman" w:eastAsia="Times New Roman" w:hAnsi="Times New Roman" w:cs="Times New Roman"/>
                      <w:sz w:val="20"/>
                      <w:szCs w:val="20"/>
                    </w:rPr>
                    <w:br/>
                    <w:t xml:space="preserve">2. Chemistry, Clark University, Worcester, MA, United States. </w:t>
                  </w:r>
                  <w:r w:rsidRPr="0005639F">
                    <w:rPr>
                      <w:rFonts w:ascii="Times New Roman" w:eastAsia="Times New Roman" w:hAnsi="Times New Roman" w:cs="Times New Roman"/>
                      <w:sz w:val="20"/>
                      <w:szCs w:val="20"/>
                    </w:rPr>
                    <w:br/>
                    <w:t xml:space="preserve">3. Chemistry, University of Canterbury, Christchurch, New Zealand. </w:t>
                  </w:r>
                  <w:r w:rsidRPr="0005639F">
                    <w:rPr>
                      <w:rFonts w:ascii="Times New Roman" w:eastAsia="Times New Roman" w:hAnsi="Times New Roman" w:cs="Times New Roman"/>
                      <w:sz w:val="20"/>
                      <w:szCs w:val="20"/>
                    </w:rPr>
                    <w:br/>
                    <w:t xml:space="preserve">4. Physics, Clark University, Worcester,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4" w:anchor="2280571" w:history="1">
                    <w:r w:rsidRPr="0005639F">
                      <w:rPr>
                        <w:rFonts w:ascii="Times New Roman" w:eastAsia="Times New Roman" w:hAnsi="Times New Roman" w:cs="Times New Roman"/>
                        <w:color w:val="0000FF"/>
                        <w:sz w:val="20"/>
                        <w:szCs w:val="20"/>
                        <w:u w:val="single"/>
                      </w:rPr>
                      <w:t>The effect of 2-pyridone substitutions on the magnetic exchange of pyrazine in 2-pyridone/pyrazine linear chain complexes of copper (II) perchlorate.</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Compounds containing a 1:1:2 ratio of copper to pyrazine to 2-pyridone exhibit a wide range of magnetic exchange through the pyrazine moiety varying from 0-25K. The strength of magnetic exchange depends on the molecular structure and substituents on the complex. In order to better understand the varying exchanges, we have studied the effect of varying the electron density at the copper ion by placing different substituents at the n = 4, 5, and 6 positions of the 2-pyridone ligands. A family of crystallized coordination polymers with the formula </w:t>
                  </w:r>
                  <w:r w:rsidRPr="0005639F">
                    <w:rPr>
                      <w:rFonts w:ascii="Times New Roman" w:eastAsia="Times New Roman" w:hAnsi="Times New Roman" w:cs="Times New Roman"/>
                      <w:sz w:val="20"/>
                      <w:szCs w:val="20"/>
                    </w:rPr>
                    <w:lastRenderedPageBreak/>
                    <w:t>[Cu (n-S-2-pyridone)</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(pyrazine)](ClO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[S = substituent] have been prepared with the Cu(II) ions bridged by the pyrazine molecules. The effect of the identity and position of the 2-pyridone substitutions on the magnetic exchange has been studied and the crystalline structures characterized.</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2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2284628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Penelope C. Farris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Jonathan E. Chellali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Christopher P. Landee</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Mark M. Turnbull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Clark University, New York, NY, United States. </w:t>
                  </w:r>
                  <w:r w:rsidRPr="0005639F">
                    <w:rPr>
                      <w:rFonts w:ascii="Times New Roman" w:eastAsia="Times New Roman" w:hAnsi="Times New Roman" w:cs="Times New Roman"/>
                      <w:sz w:val="20"/>
                      <w:szCs w:val="20"/>
                    </w:rPr>
                    <w:br/>
                    <w:t xml:space="preserve">2. Physics, Clark University, Worcester,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5" w:anchor="2284628" w:history="1">
                    <w:r w:rsidRPr="0005639F">
                      <w:rPr>
                        <w:rFonts w:ascii="Times New Roman" w:eastAsia="Times New Roman" w:hAnsi="Times New Roman" w:cs="Times New Roman"/>
                        <w:color w:val="0000FF"/>
                        <w:sz w:val="20"/>
                        <w:szCs w:val="20"/>
                        <w:u w:val="single"/>
                      </w:rPr>
                      <w:t>The mechanochemical synthesis of 2-amino-5-substitutedpyridine copper (II) halide complexes and their magnetic properties</w:t>
                    </w:r>
                    <w:r w:rsidRPr="0005639F">
                      <w:rPr>
                        <w:rFonts w:ascii="Times New Roman" w:eastAsia="Times New Roman" w:hAnsi="Times New Roman" w:cs="Times New Roman"/>
                        <w:color w:val="0000FF"/>
                        <w:sz w:val="20"/>
                        <w:szCs w:val="20"/>
                        <w:u w:val="single"/>
                      </w:rPr>
                      <w:br/>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Research has been completed surrounding the salts with the general formula (2- amino-5-S-pyridine)2CuX4, in which S is a substituent and X is a halide ion (Cl or Br). There is less known about the crystal structures and magnetic properties of neutral compounds made with 2-amino-5-S-pyridines and cupric halides. We have begun working to synthesize compounds with the general formula (5CAP)nCuX2,[5CAP = 2-amino-5-chloropyridine; n = 1, 2] where X is either chloride or bromide. These structures either tend to form dimers or chains in the solid state, but it has yet to be discovered why certain processes or starting materials will yield one structure over another. By working to produce this compound under different conditions by using different various methods, we are hoping a reason for either trend will become clear. We have been utilizing mechanochemistry, which can be used to synthesize products without solvents. The reactions are facilitated between solid materials by applying a grinding force to increase the thermal energy of the molecules to break and form the bonds. This process is carried out by using a mortar and pestle, as it is the most convenient and affordable technique. By using this method the new compound can be produced quickly, although the technique may produce a less pure product. The products are characterized using methods such as infrared spectrometry and X-ray diffraction to determine their purity and composition. Once pure substances have been acquired the next task is to form crystals from them and determine their crystalline structures.</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2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2285157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Alistair D. Richardson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 xml:space="preserve">Tyler J. Zirkman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Christopher P. Landee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rPr>
                    <w:lastRenderedPageBreak/>
                    <w:t>Mark M. Turnbull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Melanie Rademeyer</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Chemistry, Clark University, Worcester, MA, United States. </w:t>
                  </w:r>
                  <w:r w:rsidRPr="0005639F">
                    <w:rPr>
                      <w:rFonts w:ascii="Times New Roman" w:eastAsia="Times New Roman" w:hAnsi="Times New Roman" w:cs="Times New Roman"/>
                      <w:sz w:val="20"/>
                      <w:szCs w:val="20"/>
                    </w:rPr>
                    <w:br/>
                    <w:t xml:space="preserve">2. Chemistry, University of Pretoria, Pretoria, South Africa. </w:t>
                  </w:r>
                  <w:r w:rsidRPr="0005639F">
                    <w:rPr>
                      <w:rFonts w:ascii="Times New Roman" w:eastAsia="Times New Roman" w:hAnsi="Times New Roman" w:cs="Times New Roman"/>
                      <w:sz w:val="20"/>
                      <w:szCs w:val="20"/>
                    </w:rPr>
                    <w:br/>
                    <w:t xml:space="preserve">3. Physics, Clark University, Worcester,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6" w:anchor="2285157" w:history="1">
                    <w:r w:rsidRPr="0005639F">
                      <w:rPr>
                        <w:rFonts w:ascii="Times New Roman" w:eastAsia="Times New Roman" w:hAnsi="Times New Roman" w:cs="Times New Roman"/>
                        <w:color w:val="0000FF"/>
                        <w:sz w:val="20"/>
                        <w:szCs w:val="20"/>
                        <w:u w:val="single"/>
                      </w:rPr>
                      <w:t>Synthesis, Structure, and Magnetic Behavior of a family of Copper(II) halide/isoquinoline salts and complexes.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There has been extensive research into metal halide complexes and salts of quinoline and the relationship between the structure of those compounds and their magnetic behavior. Isoquinoline, however, has received very limited study. Our objective was to learn more about how isoquinoline affects structure and magnetic characteristics. We have prepared a family of complexes and salts with both copper (II) chloride and copper (II) bromide and isoquinoline. The complexes have the general formula Cu(isoquinoline)</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X</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or Cu[(isoquinoline)</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X</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](H</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O)</w:t>
                  </w:r>
                  <w:r w:rsidRPr="0005639F">
                    <w:rPr>
                      <w:rFonts w:ascii="Times New Roman" w:eastAsia="Times New Roman" w:hAnsi="Times New Roman" w:cs="Times New Roman"/>
                      <w:sz w:val="20"/>
                      <w:szCs w:val="20"/>
                      <w:vertAlign w:val="subscript"/>
                    </w:rPr>
                    <w:t>n</w:t>
                  </w:r>
                  <w:r w:rsidRPr="0005639F">
                    <w:rPr>
                      <w:rFonts w:ascii="Times New Roman" w:eastAsia="Times New Roman" w:hAnsi="Times New Roman" w:cs="Times New Roman"/>
                      <w:sz w:val="20"/>
                      <w:szCs w:val="20"/>
                    </w:rPr>
                    <w:t xml:space="preserve"> (n=0,1,2). Discussion on the synthesis and structures, as well as magnetic properties of these compounds will be presented. An analysis on the distinctions and similarities of the chloride versus the bromide compounds will be provided. This will also include the difficulty in producing analyzable crystals of the neutral complexes, as well as the synthesis of anhydrous and hydrated crystals.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2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2288747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Brian Wilson</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Yuriko Takahashi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Anna Y. OBrien</w:t>
                  </w:r>
                  <w:r w:rsidRPr="0005639F">
                    <w:rPr>
                      <w:rFonts w:ascii="Times New Roman" w:eastAsia="Times New Roman" w:hAnsi="Times New Roman" w:cs="Times New Roman"/>
                      <w:sz w:val="20"/>
                      <w:szCs w:val="20"/>
                      <w:vertAlign w:val="superscript"/>
                    </w:rPr>
                    <w:t>1, 2</w:t>
                  </w:r>
                  <w:r w:rsidRPr="0005639F">
                    <w:rPr>
                      <w:rFonts w:ascii="Times New Roman" w:eastAsia="Times New Roman" w:hAnsi="Times New Roman" w:cs="Times New Roman"/>
                      <w:sz w:val="20"/>
                      <w:szCs w:val="20"/>
                    </w:rPr>
                    <w:t>, Miriam M. Gillett-Kunnath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Karin Ruhlandt-Senge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Syracuse University, Syracuse, NY, United States. </w:t>
                  </w:r>
                  <w:r w:rsidRPr="0005639F">
                    <w:rPr>
                      <w:rFonts w:ascii="Times New Roman" w:eastAsia="Times New Roman" w:hAnsi="Times New Roman" w:cs="Times New Roman"/>
                      <w:sz w:val="20"/>
                      <w:szCs w:val="20"/>
                    </w:rPr>
                    <w:br/>
                    <w:t xml:space="preserve">2. Department of Chemistry and Physics, Le Moyne College,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7" w:anchor="2288747" w:history="1">
                    <w:r w:rsidRPr="0005639F">
                      <w:rPr>
                        <w:rFonts w:ascii="Times New Roman" w:eastAsia="Times New Roman" w:hAnsi="Times New Roman" w:cs="Times New Roman"/>
                        <w:b/>
                        <w:bCs/>
                        <w:color w:val="0000FF"/>
                        <w:sz w:val="20"/>
                        <w:szCs w:val="20"/>
                        <w:u w:val="single"/>
                      </w:rPr>
                      <w:t>Solvation vs ligation: Examining the effects of secondary interactions between Alkali/Alkaline earth alkoxides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Ideal Metal Organic Chemical Vapor Deposition (MOCVD) precursors for applications in electronic thin films have high volatility and are able to sublime cleanly. Recent synthetic work using the 1,1,1,3,3,3-hexafluroro-2-phenyl-2-propanol, HOC(CF3)2C6H5, (H(HFPP)) ligand system has resulted in solvated alkali/alkaline earth heterobimetallic precursors made from the solvated homometallic starting materials. However solvent loss frequently results in aggregation and thus a reduction of volatility. Therefore the isolation of low nuclearity solvent-free heterobimetallic precursors are much desired for their likely improved stability and volatility. The use of the HFPP ligand is expected to stabilize the metal centers towards these compounds through both stronger primary interactions (M-O) and weaker secondary non-covalent interactions (e.g. M–Cπ, M–F) in the absence of solvent co-ligands. This work attempts to desolvate alkali/alkaline earth homometallic compounds for use as starting materials towards low nuclearity solvent-free heterobimetallic precursors while investigating the unique role secondary interactions play in the decreasing presence of solvent co-ligands.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lastRenderedPageBreak/>
              <w:pict>
                <v:rect id="_x0000_i372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2292213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Ryan M. Lee</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Bridgewater State University, Raynham, MA,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8" w:anchor="2292213" w:history="1">
                    <w:r w:rsidRPr="0005639F">
                      <w:rPr>
                        <w:rFonts w:ascii="Times New Roman" w:eastAsia="Times New Roman" w:hAnsi="Times New Roman" w:cs="Times New Roman"/>
                        <w:color w:val="0000FF"/>
                        <w:sz w:val="20"/>
                        <w:szCs w:val="20"/>
                        <w:u w:val="single"/>
                      </w:rPr>
                      <w:t>Synthesis and characterization of [Ru(acac)2(dppz)]1+: A new potential metallointercalator.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br/>
                    <w:t>Our group is interested in developing new metal based complexes capable of binding DNA through intercalation. Metal complexes that bind DNA have the potential to act as chemical probes, inhibit DNA binding proteins, and photochemically repair or excise DNA lesions. To this end we are examining the synthesis and isolation of the cis-bis-acetylacetonate (acac) complex [RuIII(acac)2(dppz)]1+ (dppz = dipyrido[3,2-a:2',3'-c]phenazine). The use of acac as a supporting ligand has not been extensively examined compared to the ubiquitous nitrogen based bidentate supporting ligands, 2,2-bipyridine and phenanthroline. We anticipate that use of an oxygen donor ligand may act as a hydrogen bond acceptor and alter the binding affinity of this complex. [RuIII(acac)2(dppz)]BF4 was prepared in a two-step procedure from RuIII(acac)3. Treatment of RuIII(acac)3 with tetrafluorboric acid dimethyl etherate in acetonitrile produces the partially substituted complex cis-[Ru(acac)2(CH3CN)2]BF4. Reaction of this complex with dppz results in the formation of [RuIII(acac)2(dppz)]BF4. Details regarding the synthesis and spectroscopic characterization of [RuIII(acac)2(dppz)]BF4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2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2292217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Andrew Ruff</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Benny C. Chan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Abby R. O'Connor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 Dept, College of New Jersey, Ewing,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59" w:anchor="2292217" w:history="1">
                    <w:r w:rsidRPr="0005639F">
                      <w:rPr>
                        <w:rFonts w:ascii="Times New Roman" w:eastAsia="Times New Roman" w:hAnsi="Times New Roman" w:cs="Times New Roman"/>
                        <w:color w:val="0000FF"/>
                        <w:sz w:val="20"/>
                        <w:szCs w:val="20"/>
                        <w:u w:val="single"/>
                      </w:rPr>
                      <w:t>Catalytic Transfer Hydrogenation of Ketones Using Cp*Ir(III) Pyridinesulfonamide Catalysts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Transfer hydrogenation is a useful method to reduce unsaturated bonds without the need for hydrogen gas. The mechanism of hydrogen transfer commonly occurs via metal-ligand cooperativity between a basic moiety on the ligand and the metal center. Although examples of iridium complexes containing diamine ligands that catalyze transfer hydrogenation are known, no examples exist of iridium complexes that contain pyridinesulfonamide ligands, and the catalytic activity of such complexes is not previously reported. The O’Connor group is interested in exploring new catalysts for transfer hydrogenation catalysis using air and moisture tolerant complexes using pyridinesulfonamide ligand scaffolds. Here we report the synthesis and characterization and catalysis of new Cp*Ir(III)Cl complexes containing various pyridinesulfonamide ligands. These complexes are active in hydrogen transfer catalysis, as aryl ketones with electron withdrawing and electron donating substituents are effectively reduced to an alcohol at 85</w:t>
                  </w:r>
                  <w:r w:rsidRPr="0005639F">
                    <w:rPr>
                      <w:rFonts w:ascii="Times New Roman" w:eastAsia="Times New Roman" w:hAnsi="Times New Roman" w:cs="Times New Roman"/>
                      <w:sz w:val="20"/>
                      <w:szCs w:val="20"/>
                      <w:vertAlign w:val="superscript"/>
                    </w:rPr>
                    <w:t>o</w:t>
                  </w:r>
                  <w:r w:rsidRPr="0005639F">
                    <w:rPr>
                      <w:rFonts w:ascii="Times New Roman" w:eastAsia="Times New Roman" w:hAnsi="Times New Roman" w:cs="Times New Roman"/>
                      <w:sz w:val="20"/>
                      <w:szCs w:val="20"/>
                    </w:rPr>
                    <w:t xml:space="preserve">C (80-90% conversion) with 1 mol% of the iridium precatalyst. Aryl-alkyl ketones that possess electron rich and electron poor substituents, cycloaliphatic ketones, and a,b-unsaturated ketones are easily reduced. The negative slope of the Hammett plot supports that electron donating groups on the catalyst increase product yield. Variation of the electronic parameters on the catalyst was also explored and it was found that the presence of electron withdrawing groups reduced catalytic activity, as supported by a positive slope of the Hammett plot. Reactions conducted in the presence of chloroform yield products of hydrogenation and acid catalyzed chemistry. This data along with an X-ray crystal structure support a mechanism in which the pyridine </w:t>
                  </w:r>
                  <w:r w:rsidRPr="0005639F">
                    <w:rPr>
                      <w:rFonts w:ascii="Times New Roman" w:eastAsia="Times New Roman" w:hAnsi="Times New Roman" w:cs="Times New Roman"/>
                      <w:sz w:val="20"/>
                      <w:szCs w:val="20"/>
                    </w:rPr>
                    <w:lastRenderedPageBreak/>
                    <w:t>ligand dissociates from the metal center during catalysis. This may be plausible during transfer hydrogenation catalysis. Preliminary results describing our efforts to elucidation of the mechanism of hydrogen transfer are also included.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Oral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2292221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Abby R. O'Connor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Chris Kirby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Tanya Townsend</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 Dept, College of New Jersey, Ewing,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0" w:anchor="2292221" w:history="1">
                    <w:r w:rsidRPr="0005639F">
                      <w:rPr>
                        <w:rFonts w:ascii="Times New Roman" w:eastAsia="Times New Roman" w:hAnsi="Times New Roman" w:cs="Times New Roman"/>
                        <w:color w:val="0000FF"/>
                        <w:sz w:val="20"/>
                        <w:szCs w:val="20"/>
                        <w:u w:val="single"/>
                      </w:rPr>
                      <w:t>Transfer Hydrogenation of Aldehydes Using Cp*Ir(III) Pyridinesulfonamide Catalysts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Despite the vast number of successful reports for the reduction of ketones by transfer hydrogenation, the chemoselective transfer hydrogenation of aldehydes remains a challenge. In most instances, catalysis occurs under basic conditions leading to side reactions to form aldol condensation products. Additionally, catalyst deactivation by decarbonylation for iridium and rhodium systems is commonly observed. Work in the O’Connor lab has focused on the synthesis of Cp* iridium(III)Cl catalysts (Cp* = pentamethylcyclopentadienyl) containing pyridinesulfonamide ligands and studying their ability to catalyze transfer hydrogenation of aldehydes. Iridium complexes possessing different pyridinesulfonamide ligands with electron-rich and electron-poor substituents were synthesized. These complexes were evaluated in the catalytic transfer hydrogenation of a library of aldehydes. An exciting feature of this catalysis is that no additives are required and the catalysts are tolerant of air and moisture. Benzaldehyde is efficiently reduced to benzyl alcohol in over 99% yield in reactions conducted for 30 min at 85°C using 1mol% of iridium precatalyst. Seven iridium precatalysts containing different pyridinesulfonamide ligands were screened to explore the impact the electronics on the catalyst play on the reduction reaction. Aldehydes with electronically different substituents along with base sensitive substrates are readily reduced to alcohols in good yields, under similar reaction conditions. Competition studies demonstrate that aldehydes are selectively reduced in the presence of ketones and no evidence of decarbonylation is observed. Preliminary mechanistic information is also included.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2292346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John Andjaba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Christopher A. Bradley</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Mount St. Mary's University, Potomac, MD, United States. </w:t>
                  </w:r>
                  <w:r w:rsidRPr="0005639F">
                    <w:rPr>
                      <w:rFonts w:ascii="Times New Roman" w:eastAsia="Times New Roman" w:hAnsi="Times New Roman" w:cs="Times New Roman"/>
                      <w:sz w:val="20"/>
                      <w:szCs w:val="20"/>
                    </w:rPr>
                    <w:br/>
                    <w:t xml:space="preserve">2. Department of Science, Mount St. Marys University, Emmitsburg, MD,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1" w:anchor="2292346" w:history="1">
                    <w:r w:rsidRPr="0005639F">
                      <w:rPr>
                        <w:rFonts w:ascii="Times New Roman" w:eastAsia="Times New Roman" w:hAnsi="Times New Roman" w:cs="Times New Roman"/>
                        <w:color w:val="0000FF"/>
                        <w:sz w:val="20"/>
                        <w:szCs w:val="20"/>
                        <w:u w:val="single"/>
                      </w:rPr>
                      <w:t>Carbene retention versus displacement in ligand addition to Cp*Co(IPr)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r>
                  <w:r w:rsidRPr="0005639F">
                    <w:rPr>
                      <w:rFonts w:ascii="Times New Roman" w:eastAsia="Times New Roman" w:hAnsi="Times New Roman" w:cs="Times New Roman"/>
                      <w:b/>
                      <w:bCs/>
                      <w:sz w:val="20"/>
                      <w:szCs w:val="20"/>
                    </w:rPr>
                    <w:lastRenderedPageBreak/>
                    <w:t xml:space="preserve">Abstract: </w:t>
                  </w:r>
                  <w:r w:rsidRPr="0005639F">
                    <w:rPr>
                      <w:rFonts w:ascii="Times New Roman" w:eastAsia="Times New Roman" w:hAnsi="Times New Roman" w:cs="Times New Roman"/>
                      <w:sz w:val="20"/>
                      <w:szCs w:val="20"/>
                    </w:rPr>
                    <w:t>Our research group has recently reported on the synthesis of an unusual 16 electron Cp*Co(I) complex which is supported by a diaryl substituted N-heterocyclic carbene, the well known IPr ligand. Reactivity of Cp*Co(IPr) is consistent with a compound containing an available coordination site, as oxidative addition of H2 is promoted and addition of donor ligands provide saturated 18 electron complexes. In certain cases, where L = PMe3 or ethylene, NHC displacement was observed to form Cp*CoL2 products. However, even in the presence of excess carbon monoxide, only formation of the mixed ligand adduct Cp*Co(IPr)CO is observed. This difference in reactivity led us to investigate these reactions computationally. The results of these studies and comparison to the experimental observations will be discussed to rationalize how the identity of L affects carbene displacement. Additional synthetic studies aimed at generating other Cp*Co(IPr)L or Cp*CoL2 adducts, by addition of isocyanides, nitriles, and alkenes to Cp*Co(IPr), will be presented.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2292535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Joshua J. Woods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Miriam M. Gillett-Kunnath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Alan G. Goos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Karin Ruhlandt-Senge</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Syracuse University, Bloomfield, NY, United States. </w:t>
                  </w:r>
                  <w:r w:rsidRPr="0005639F">
                    <w:rPr>
                      <w:rFonts w:ascii="Times New Roman" w:eastAsia="Times New Roman" w:hAnsi="Times New Roman" w:cs="Times New Roman"/>
                      <w:sz w:val="20"/>
                      <w:szCs w:val="20"/>
                    </w:rPr>
                    <w:br/>
                    <w:t xml:space="preserve">2. Department of Chemistry, Syracuse University, Syracuse,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2" w:anchor="2292535" w:history="1">
                    <w:r w:rsidRPr="0005639F">
                      <w:rPr>
                        <w:rFonts w:ascii="Times New Roman" w:eastAsia="Times New Roman" w:hAnsi="Times New Roman" w:cs="Times New Roman"/>
                        <w:color w:val="0000FF"/>
                        <w:sz w:val="20"/>
                        <w:szCs w:val="20"/>
                        <w:u w:val="single"/>
                      </w:rPr>
                      <w:t>Synthesis of Solvent-Free Alkali Pyrazolates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In recent years, simple compounds based on alkali, alkaline earth and divalent rare earth metals have been synthesized with the goal of obtaining highly coveted single source Metalorganic Chemical Vapor Deposition (MOCVD) precursors. This has afforded a number of materials with high technical relevance, such as ferroelectrics, high temperature superconductors, and semiconductors. The pyrazolate ligand system has unique properties that make it an ideal precursor for MOCVD, moreover it can be customized to exhibit a range of steric properties and solubilities </w:t>
                  </w:r>
                  <w:r w:rsidRPr="0005639F">
                    <w:rPr>
                      <w:rFonts w:ascii="Times New Roman" w:eastAsia="Times New Roman" w:hAnsi="Times New Roman" w:cs="Times New Roman"/>
                      <w:i/>
                      <w:iCs/>
                      <w:sz w:val="20"/>
                      <w:szCs w:val="20"/>
                    </w:rPr>
                    <w:t>via</w:t>
                  </w:r>
                  <w:r w:rsidRPr="0005639F">
                    <w:rPr>
                      <w:rFonts w:ascii="Times New Roman" w:eastAsia="Times New Roman" w:hAnsi="Times New Roman" w:cs="Times New Roman"/>
                      <w:sz w:val="20"/>
                      <w:szCs w:val="20"/>
                    </w:rPr>
                    <w:t xml:space="preserve"> substitution on the ligand with a variety of combinations of alkyl and aryl groups. Very little is known of solvent-free alkali metal pyrazolates especially involving the heavier and highly pyrophoric rubidium and cesium. Solvent free species may be available </w:t>
                  </w:r>
                  <w:r w:rsidRPr="0005639F">
                    <w:rPr>
                      <w:rFonts w:ascii="Times New Roman" w:eastAsia="Times New Roman" w:hAnsi="Times New Roman" w:cs="Times New Roman"/>
                      <w:i/>
                      <w:iCs/>
                      <w:sz w:val="20"/>
                      <w:szCs w:val="20"/>
                    </w:rPr>
                    <w:t>via</w:t>
                  </w:r>
                  <w:r w:rsidRPr="0005639F">
                    <w:rPr>
                      <w:rFonts w:ascii="Times New Roman" w:eastAsia="Times New Roman" w:hAnsi="Times New Roman" w:cs="Times New Roman"/>
                      <w:sz w:val="20"/>
                      <w:szCs w:val="20"/>
                    </w:rPr>
                    <w:t xml:space="preserve"> direct metalation performed in Carius tubes, which eliminate the need for polar organic solvents yielding crystals of the aforementioned solvent-free molecules suitable for X-ray diffraction. Presented is a series[MG1] of solvent-free alkali pyrazolates, their trends are being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2292580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Alexandra L. Nagelski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Shengjia Zhu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Douglas R. Gisewhite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Benjamin Williams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Sharon J. Nieter Burgmayer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Bryn Mawr College, Bryn Mawr,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3" w:anchor="2292580" w:history="1">
                    <w:r w:rsidRPr="0005639F">
                      <w:rPr>
                        <w:rFonts w:ascii="Times New Roman" w:eastAsia="Times New Roman" w:hAnsi="Times New Roman" w:cs="Times New Roman"/>
                        <w:color w:val="0000FF"/>
                        <w:sz w:val="20"/>
                        <w:szCs w:val="20"/>
                        <w:u w:val="single"/>
                      </w:rPr>
                      <w:t>Molybdenum Pyranopterin Dithiolene Complexes: Modeling the Molybdenum Cofactor</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molybdenum cofactor (Moco) can be found within all eukaryotic organisms, with the exception of </w:t>
                  </w:r>
                  <w:r w:rsidRPr="0005639F">
                    <w:rPr>
                      <w:rFonts w:ascii="Times New Roman" w:eastAsia="Times New Roman" w:hAnsi="Times New Roman" w:cs="Times New Roman"/>
                      <w:i/>
                      <w:iCs/>
                      <w:sz w:val="20"/>
                      <w:szCs w:val="20"/>
                    </w:rPr>
                    <w:t>saccharomyces cerevisiae</w:t>
                  </w:r>
                  <w:r w:rsidRPr="0005639F">
                    <w:rPr>
                      <w:rFonts w:ascii="Times New Roman" w:eastAsia="Times New Roman" w:hAnsi="Times New Roman" w:cs="Times New Roman"/>
                      <w:sz w:val="20"/>
                      <w:szCs w:val="20"/>
                    </w:rPr>
                    <w:t>, commonly known as baker’s yeast. Moco forms the active site of all molybdenum enzymes and participates in the global nitrogen, carbon and sulfur cycles. The molybdenum pyranopterin dithiolene chelate is highly conserved among the Moco enzyme families, making it of special interest in research due to its potential redox activity. Several crystal structures of bacterial molybdoenzymes suggest that this ligand can exist in an open or closed pyran structure, and the interconversion between these states is believed to play a significant role in its catalytic system. Within the Moco model complex [TEA][Tp*Mo(X)pterin-C(CH3)2R-dithiolene], where TEA is tetraethylammonium, Tp* is tris(3,5-dimethylpyrazolyl)hydroborate, Mo is either in the Mo(IV) or Mo(V) oxidation state, X is sulfur or oxygen, and R is a methyl or a hydroxyl group. When R is a hydroxyl, the complex experiences reversible intramolecular cyclization that is dependent upon a dielectic constant, producing a pyran ring. In this complex, the equilibrium is shifted in favor of the closed ring structure as the solvent becomes increasingly more polar. Conversely, the equilibrium is shifted towards the open ring structure in aprotic solvents. Isosteric replacement of the hydroxyl with a methyl prevents cyclization of the pyran ring.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2292705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Inorganic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Connor Heaney</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Scott M. Chapp</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Adam Hill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St. Lawrence University, Canton, NY, United States. </w:t>
                  </w:r>
                  <w:r w:rsidRPr="0005639F">
                    <w:rPr>
                      <w:rFonts w:ascii="Times New Roman" w:eastAsia="Times New Roman" w:hAnsi="Times New Roman" w:cs="Times New Roman"/>
                      <w:sz w:val="20"/>
                      <w:szCs w:val="20"/>
                    </w:rPr>
                    <w:br/>
                    <w:t xml:space="preserve">2. Chemistry, St. Lawrence University, Canton,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4" w:anchor="2292705" w:history="1">
                    <w:r w:rsidRPr="0005639F">
                      <w:rPr>
                        <w:rFonts w:ascii="Times New Roman" w:eastAsia="Times New Roman" w:hAnsi="Times New Roman" w:cs="Times New Roman"/>
                        <w:color w:val="0000FF"/>
                        <w:sz w:val="20"/>
                        <w:szCs w:val="20"/>
                        <w:u w:val="single"/>
                      </w:rPr>
                      <w:t>Synthesis of Early-Late Heterobimetallic Compounds for Fluorescence Studies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need for alternative fuel sources has driven the investigations of early-late heterobimetallic catalysts as potential routes to carbon dioxide reduction. In addition to tunable redox potentials, metal choice has implications for the photophysics of these heterobimetallic compounds. Cobalt-zirconium and cobalt-hafnium complexes with phosphinoamide ligands have been synthesized. The current heterobimetallic complex demonstrates a large absorbance of visible light to a productive charge transfer state, which further supports the use of these metals for artificial photosynthesis. This work will lead to time-resolved fluorescence studies of excited state kinetics and eventual photocatalysis.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2267076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Materials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Peter Csernica</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James R. McKone</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Hector D. Abruna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Francis J. </w:t>
                  </w:r>
                  <w:r w:rsidRPr="0005639F">
                    <w:rPr>
                      <w:rFonts w:ascii="Times New Roman" w:eastAsia="Times New Roman" w:hAnsi="Times New Roman" w:cs="Times New Roman"/>
                      <w:sz w:val="20"/>
                      <w:szCs w:val="20"/>
                    </w:rPr>
                    <w:lastRenderedPageBreak/>
                    <w:t>DiSalvo</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INSTITUTIONS (ALL): </w:t>
                  </w:r>
                  <w:r w:rsidRPr="0005639F">
                    <w:rPr>
                      <w:rFonts w:ascii="Times New Roman" w:eastAsia="Times New Roman" w:hAnsi="Times New Roman" w:cs="Times New Roman"/>
                      <w:sz w:val="20"/>
                      <w:szCs w:val="20"/>
                    </w:rPr>
                    <w:t xml:space="preserve">1. Cornell Univ, Ithaca, NY, United States. </w:t>
                  </w:r>
                  <w:r w:rsidRPr="0005639F">
                    <w:rPr>
                      <w:rFonts w:ascii="Times New Roman" w:eastAsia="Times New Roman" w:hAnsi="Times New Roman" w:cs="Times New Roman"/>
                      <w:sz w:val="20"/>
                      <w:szCs w:val="20"/>
                    </w:rPr>
                    <w:br/>
                    <w:t xml:space="preserve">2. Cornell University, Ithaca, NY, United States. </w:t>
                  </w:r>
                  <w:r w:rsidRPr="0005639F">
                    <w:rPr>
                      <w:rFonts w:ascii="Times New Roman" w:eastAsia="Times New Roman" w:hAnsi="Times New Roman" w:cs="Times New Roman"/>
                      <w:sz w:val="20"/>
                      <w:szCs w:val="20"/>
                    </w:rPr>
                    <w:br/>
                    <w:t xml:space="preserve">3.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5" w:anchor="2267076" w:history="1">
                    <w:r w:rsidRPr="0005639F">
                      <w:rPr>
                        <w:rFonts w:ascii="Times New Roman" w:eastAsia="Times New Roman" w:hAnsi="Times New Roman" w:cs="Times New Roman"/>
                        <w:color w:val="0000FF"/>
                        <w:sz w:val="20"/>
                        <w:szCs w:val="20"/>
                        <w:u w:val="single"/>
                      </w:rPr>
                      <w:t>Synthesis of Ordered Nickel–Molybdenum Compounds for Hydrogen Evolution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Electrolysis of water is an attractive method for producing clean hydrogen for storing and transporting renewable energy. Although hydrogen production by this method is most effective using precious metal catalysts, non-noble metals are attractive alternatives because of their reduced cost. Among the many bimetallic materials that have been investigated as catalysts for the hydrogen evolution reaction (HER), nickel–molybdenum (Ni–Mo) compounds have been shown to be particularly active. Importantly, their high activity suggests synergy between the two metals, as the bimetallic compounds are substantially more active than either of their constituents.</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Previous studies of Ni–Mo HER catalysts have focused primarily on disordered alloys, which can only incorporate up to 25 at. % molybdenum into the polycrystalline structure. Here, an established method for producing the alloy was modified to create ordered Ni–Mo compounds that, unlike the disordered alloys, can incorporate up to 50 at. % molybdenum. Both the ordering and the incorporation of more molybdenum suggest that these compounds may have superior HER catalytic properties relative to their disordered counterparts. Additionally, the synthetic conditions can be slightly modified to produce Ni–Mo nitrides and carbides, which may also be active for the HER.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2289856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Materials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Sabrina Fitzgerald</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James J. Rutowski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Jonathan Kasper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Jonathan A. Binns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Jamie Hitro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Joseph M. Schnitter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Jeremy L. Steinbacher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&amp; Biochemistry, Canisius College, Buffalo,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6" w:anchor="2289856" w:history="1">
                    <w:r w:rsidRPr="0005639F">
                      <w:rPr>
                        <w:rFonts w:ascii="Times New Roman" w:eastAsia="Times New Roman" w:hAnsi="Times New Roman" w:cs="Times New Roman"/>
                        <w:color w:val="0000FF"/>
                        <w:sz w:val="20"/>
                        <w:szCs w:val="20"/>
                        <w:u w:val="single"/>
                      </w:rPr>
                      <w:t xml:space="preserve">Toward a Multifunctional </w:t>
                    </w:r>
                    <w:r w:rsidRPr="0005639F">
                      <w:rPr>
                        <w:rFonts w:ascii="Times New Roman" w:eastAsia="Times New Roman" w:hAnsi="Times New Roman" w:cs="Times New Roman"/>
                        <w:color w:val="0000FF"/>
                        <w:sz w:val="20"/>
                        <w:szCs w:val="20"/>
                        <w:u w:val="single"/>
                        <w:vertAlign w:val="superscript"/>
                      </w:rPr>
                      <w:t>19</w:t>
                    </w:r>
                    <w:r w:rsidRPr="0005639F">
                      <w:rPr>
                        <w:rFonts w:ascii="Times New Roman" w:eastAsia="Times New Roman" w:hAnsi="Times New Roman" w:cs="Times New Roman"/>
                        <w:color w:val="0000FF"/>
                        <w:sz w:val="20"/>
                        <w:szCs w:val="20"/>
                        <w:u w:val="single"/>
                      </w:rPr>
                      <w:t>F MRI Contrast Agent Based on Mesoporous Silica Nanoparticles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Novel drug-delivery agents are needed to overcome the limitations of systemic toxicity of traditional chemotherapeutics, and an even more powerful paradigm combines delivery and imaging into one agent. One potential platform for such an agent is nano- or microparticles consisting of mesoporous silica, a well-characterized material with minimal toxicity and with great flexibility for chemical functionalization. Much progress has been made using porous silica particles as multifunctional drug-delivery agents, enabling combined delivery and imaging by incorporating contrast agents for optical detection, PET, and proton MRI. One imaging modality not yet combined with porous particles is </w:t>
                  </w:r>
                  <w:r w:rsidRPr="0005639F">
                    <w:rPr>
                      <w:rFonts w:ascii="Times New Roman" w:eastAsia="Times New Roman" w:hAnsi="Times New Roman" w:cs="Times New Roman"/>
                      <w:sz w:val="20"/>
                      <w:szCs w:val="20"/>
                      <w:vertAlign w:val="superscript"/>
                    </w:rPr>
                    <w:t>19</w:t>
                  </w:r>
                  <w:r w:rsidRPr="0005639F">
                    <w:rPr>
                      <w:rFonts w:ascii="Times New Roman" w:eastAsia="Times New Roman" w:hAnsi="Times New Roman" w:cs="Times New Roman"/>
                      <w:sz w:val="20"/>
                      <w:szCs w:val="20"/>
                    </w:rPr>
                    <w:t>F MRI.</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 xml:space="preserve">Here, we present efforts to prepare multifunctional silica nanoparticles that incorporate fluorine atoms for detection by </w:t>
                  </w:r>
                  <w:r w:rsidRPr="0005639F">
                    <w:rPr>
                      <w:rFonts w:ascii="Times New Roman" w:eastAsia="Times New Roman" w:hAnsi="Times New Roman" w:cs="Times New Roman"/>
                      <w:sz w:val="20"/>
                      <w:szCs w:val="20"/>
                      <w:vertAlign w:val="superscript"/>
                    </w:rPr>
                    <w:t>19</w:t>
                  </w:r>
                  <w:r w:rsidRPr="0005639F">
                    <w:rPr>
                      <w:rFonts w:ascii="Times New Roman" w:eastAsia="Times New Roman" w:hAnsi="Times New Roman" w:cs="Times New Roman"/>
                      <w:sz w:val="20"/>
                      <w:szCs w:val="20"/>
                    </w:rPr>
                    <w:t xml:space="preserve">F MRI. We have synthesized several molecules that contain multiple chemically-equivalent fluorine atoms in the form of trifluoromethyl groups. Importantly, the linkers contain a variety of hydrophilic moieties to promote solvation of the fluorine atoms. We have subsequently immobilized these groups to the pores of mesoporous silica nanoparticles that were PEGylated on their exterior surfaces to promote biocompatibility and water-dispersibility. Lastly, we used </w:t>
                  </w:r>
                  <w:r w:rsidRPr="0005639F">
                    <w:rPr>
                      <w:rFonts w:ascii="Times New Roman" w:eastAsia="Times New Roman" w:hAnsi="Times New Roman" w:cs="Times New Roman"/>
                      <w:sz w:val="20"/>
                      <w:szCs w:val="20"/>
                      <w:vertAlign w:val="superscript"/>
                    </w:rPr>
                    <w:t>19</w:t>
                  </w:r>
                  <w:r w:rsidRPr="0005639F">
                    <w:rPr>
                      <w:rFonts w:ascii="Times New Roman" w:eastAsia="Times New Roman" w:hAnsi="Times New Roman" w:cs="Times New Roman"/>
                      <w:sz w:val="20"/>
                      <w:szCs w:val="20"/>
                    </w:rPr>
                    <w:t xml:space="preserve">F NMR spectroscopy to detect these immobilized fluorine atoms and measure their magnetic relaxation properties, demonstrating proof-of-principle that </w:t>
                  </w:r>
                  <w:r w:rsidRPr="0005639F">
                    <w:rPr>
                      <w:rFonts w:ascii="Times New Roman" w:eastAsia="Times New Roman" w:hAnsi="Times New Roman" w:cs="Times New Roman"/>
                      <w:sz w:val="20"/>
                      <w:szCs w:val="20"/>
                      <w:vertAlign w:val="superscript"/>
                    </w:rPr>
                    <w:t>19</w:t>
                  </w:r>
                  <w:r w:rsidRPr="0005639F">
                    <w:rPr>
                      <w:rFonts w:ascii="Times New Roman" w:eastAsia="Times New Roman" w:hAnsi="Times New Roman" w:cs="Times New Roman"/>
                      <w:sz w:val="20"/>
                      <w:szCs w:val="20"/>
                    </w:rPr>
                    <w:t>F MRI could be used to detect and image these materials. Relaxation rates and signal-to-noise ratios were sufficient to acquire spectra in short amounts of time.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r w:rsidRPr="0005639F">
                    <w:rPr>
                      <w:rFonts w:ascii="Times New Roman" w:eastAsia="Times New Roman" w:hAnsi="Times New Roman" w:cs="Times New Roman"/>
                      <w:sz w:val="20"/>
                      <w:szCs w:val="20"/>
                    </w:rPr>
                    <w:t>This poster abstract is for my undergraduate research students at the undergraduate poster session. However, I submitted a very similar abstract (2289845) for an oral talk given by myself. If this interferes with the "multiple submissions" clause, please remove my oral talk.</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2291140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Materials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Brant Lai</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Cornell University, Warren, NJ,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7" w:anchor="2291140" w:history="1">
                    <w:r w:rsidRPr="0005639F">
                      <w:rPr>
                        <w:rFonts w:ascii="Times New Roman" w:eastAsia="Times New Roman" w:hAnsi="Times New Roman" w:cs="Times New Roman"/>
                        <w:color w:val="0000FF"/>
                        <w:sz w:val="20"/>
                        <w:szCs w:val="20"/>
                        <w:u w:val="single"/>
                      </w:rPr>
                      <w:t>Molecular Simulation of Adsorption of DNA-Functionalized Gold Nanoparticles in Ionic Environment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Recent advancements in nanotechnology have allowed for the construction of materials with novel properties for uses ranging from medicine to semiconductors. DNA functionalized nanoparticle are nanomaterials that hold great promise due to the unique properties imparted by DNA. Specifically, the programmability of the DNA allows for unique structures to be deposited onto silicon. However, the understanding of the mechanism and the ability to predict these structures are still not fully developed. In this study, a Metropolis Monte Carlo molecular simulation is used to create a mathematical model that governs the mechanism. The molecular simulation is written and performed in Matlab and visualized using it’s built in visual capabilities. After determining the Hamiltonian of the system, the results of the simulation are compared to experimental results that are obtained from small angle X-ray scattering (SAXS) and scanning electron microscopy (SEM). The equilibrium structures formed from the simulation are successfully confirmed with those from SAXS and SEM. While the results appear promising, the simplistic model does not provide the full understanding of the mechanism. Future studies would include molecular simulation using molecular dynamics, which would provide a more precise mathematical model as well as real-time visualization of the mechanism.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2292330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Materials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Nicolette G. Celia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Meagan M. Gadzuk-Shea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Isabel Bogacz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Adam Hill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St Lawrence University, Canton,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8" w:anchor="2292330" w:history="1">
                    <w:r w:rsidRPr="0005639F">
                      <w:rPr>
                        <w:rFonts w:ascii="Times New Roman" w:eastAsia="Times New Roman" w:hAnsi="Times New Roman" w:cs="Times New Roman"/>
                        <w:color w:val="0000FF"/>
                        <w:sz w:val="20"/>
                        <w:szCs w:val="20"/>
                        <w:u w:val="single"/>
                      </w:rPr>
                      <w:t>Synthesis and characterization of early-late heterobimetallic materials by Raman spectroscopy.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Photochemical techniques for the reduction of carbon dioxide, as part of artificial photosynthesis, are being investigated as a renewable source of chemical fuel. Pairs of transition metal atoms on a silica surface, called early-late heterobimetallic compounds, have shown promise as photocatalysts for carbon dioxide reduction. MCM-41 mesoporous silica was used as a substrate for mono- and bimetallic materials incorporating cobalt, titanium, and zirconium; the synthetic protocols were optimized. The products were characterized by several techniques, including scanning electron microscopy and Raman spectroscopy at multiple excitation frequencies. Surface metal </w:t>
                  </w:r>
                  <w:r w:rsidRPr="0005639F">
                    <w:rPr>
                      <w:rFonts w:ascii="Times New Roman" w:eastAsia="Times New Roman" w:hAnsi="Times New Roman" w:cs="Times New Roman"/>
                      <w:sz w:val="20"/>
                      <w:szCs w:val="20"/>
                    </w:rPr>
                    <w:lastRenderedPageBreak/>
                    <w:t>atoms are interrogated for their interactions with guest molecules.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3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2292449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Materials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Aude M. Bechu</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Zachary M. Tobin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Mary K. Carroll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Ann M. Anderson</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Union College, Schenectady, NY, United States. </w:t>
                  </w:r>
                  <w:r w:rsidRPr="0005639F">
                    <w:rPr>
                      <w:rFonts w:ascii="Times New Roman" w:eastAsia="Times New Roman" w:hAnsi="Times New Roman" w:cs="Times New Roman"/>
                      <w:sz w:val="20"/>
                      <w:szCs w:val="20"/>
                    </w:rPr>
                    <w:br/>
                    <w:t xml:space="preserve">2. Mechanical Engineering, Union College, Schenectady,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69" w:anchor="2292449" w:history="1">
                    <w:r w:rsidRPr="0005639F">
                      <w:rPr>
                        <w:rFonts w:ascii="Times New Roman" w:eastAsia="Times New Roman" w:hAnsi="Times New Roman" w:cs="Times New Roman"/>
                        <w:color w:val="0000FF"/>
                        <w:sz w:val="20"/>
                        <w:szCs w:val="20"/>
                        <w:u w:val="single"/>
                      </w:rPr>
                      <w:t>Copper-alumina aerogels: Fabrication, characterization, and catalytic application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Aerogels are remarkable materials: good insulators with high surface areas and very low densities. These properties make aerogels attractive for catalytic applications. Catalytic aerogel materials have the potential to replace environmentally costly rare-earth-metal-based catalysts currently used by the automotive industry in catalytic converters. Aerogels can be fabricated from sol gels that contain a solid porous network with trapped solvent by dispelling the liquid through supercritical extraction. We employ a rapid supercritical extraction (RSCE) method to prepare aerogels based on different metal oxide networks, including aluminum oxide (alumina). Alumina aerogels can effectively incorporate other metals, such as copper, into their durable structure. We have developed recipes for the fabrication of copper-alumina (Cu-Al) RSCE aerogels, performed physical (surface areas, bulk densities) and spectroscopic characterization (FTIR) of these materials, and begun investigating their catalytic activity when exposed to simulated automotive exhaust in a catalytic testbed. In parallel, aerogels were preheated to catalytic temperatures in order to determine the effect of heating on catalytic ability. The heat-treated aerogels, as well as those that underwent catalytic testing, were characterized. Although surface area decreases and bulk density increases as a Cu-Al aerogel sample is heated, the structure of the aerogel remains intact and its catalytic ability is not significantly hindered.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The presenting authors (Bechu &amp; Tobin) are undergraduate students. The submitting author (Carroll) is not.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2292565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Materials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Hosea Mak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Alan M. Lyons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Dept of Chemistry, College of Staten Island - CUNY, Staten Island,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0" w:anchor="2292565" w:history="1">
                    <w:r w:rsidRPr="0005639F">
                      <w:rPr>
                        <w:rFonts w:ascii="Times New Roman" w:eastAsia="Times New Roman" w:hAnsi="Times New Roman" w:cs="Times New Roman"/>
                        <w:color w:val="0000FF"/>
                        <w:sz w:val="20"/>
                        <w:szCs w:val="20"/>
                        <w:u w:val="single"/>
                      </w:rPr>
                      <w:t>Effect of temperature and TiO</w:t>
                    </w:r>
                    <w:r w:rsidRPr="0005639F">
                      <w:rPr>
                        <w:rFonts w:ascii="Times New Roman" w:eastAsia="Times New Roman" w:hAnsi="Times New Roman" w:cs="Times New Roman"/>
                        <w:color w:val="0000FF"/>
                        <w:sz w:val="20"/>
                        <w:szCs w:val="20"/>
                        <w:u w:val="single"/>
                        <w:vertAlign w:val="subscript"/>
                      </w:rPr>
                      <w:t>2</w:t>
                    </w:r>
                    <w:r w:rsidRPr="0005639F">
                      <w:rPr>
                        <w:rFonts w:ascii="Times New Roman" w:eastAsia="Times New Roman" w:hAnsi="Times New Roman" w:cs="Times New Roman"/>
                        <w:color w:val="0000FF"/>
                        <w:sz w:val="20"/>
                        <w:szCs w:val="20"/>
                        <w:u w:val="single"/>
                      </w:rPr>
                      <w:t>-polyethylene film morphology on catalytic deactivation of bacteria</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As of 2014, approximately 10 % of the world population does not have access to treated surface water. </w:t>
                  </w:r>
                  <w:r w:rsidRPr="0005639F">
                    <w:rPr>
                      <w:rFonts w:ascii="Times New Roman" w:eastAsia="Times New Roman" w:hAnsi="Times New Roman" w:cs="Times New Roman"/>
                      <w:sz w:val="20"/>
                      <w:szCs w:val="20"/>
                    </w:rPr>
                    <w:lastRenderedPageBreak/>
                    <w:t>This is a significant issue as many people have died from water-borne diseases (such as cholera and dysentery) caused by a lack of clean drinking water or from inadequate sanitation. Solar water disinfection, also known as SODIS, is a means by which unclean water is purified by making use of ultraviolet radiation from the sun and high temperatures to kill off pathogens using clear plastic water bottles. This method has seen worldwide usage and is particularly effective in regions that receive strong and reliable sunlight, as it requires at least six hours of sun exposure. However, a potentially long exposure time (this process can take up to two days on cloudy days) reduces user compliance and as a result, lowers the effectiveness of SODIS. To overcome these limitations, we have developed an improved water purification method: a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-polyethylene nano-composite film is inserted into the container to speed up the purification process. This is possible due to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’s ability to aid in completely oxidizing organic substances to carbon dioxide and water, as well as deactivate pathogens, through the generation of superoxides and peroxides on the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surface. This proposed method is particularly significant as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is able to deactivate organic contaminants (such as conjugated ring structures) that conventional water-purifying materials, like bleach, cannot oxidize. In this poster, the effectiveness of the film was studied by comparing it to polyethylene (no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and the conventional SODIS method. Due to the need to control temperature and light intensity, the experiments used flat-bottom boxes instead of bottles and were conducted indoors by exposing solutions of </w:t>
                  </w:r>
                  <w:r w:rsidRPr="0005639F">
                    <w:rPr>
                      <w:rFonts w:ascii="Times New Roman" w:eastAsia="Times New Roman" w:hAnsi="Times New Roman" w:cs="Times New Roman"/>
                      <w:i/>
                      <w:iCs/>
                      <w:sz w:val="20"/>
                      <w:szCs w:val="20"/>
                    </w:rPr>
                    <w:t xml:space="preserve">Echerichia coli </w:t>
                  </w:r>
                  <w:r w:rsidRPr="0005639F">
                    <w:rPr>
                      <w:rFonts w:ascii="Times New Roman" w:eastAsia="Times New Roman" w:hAnsi="Times New Roman" w:cs="Times New Roman"/>
                      <w:sz w:val="20"/>
                      <w:szCs w:val="20"/>
                    </w:rPr>
                    <w:t>to a UV-Vis lamp (370-46 nm) on a thermoelectric (temperature-controlled) plate. This study also explores different TiO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 xml:space="preserve"> nanocomposite morphologies and their effects on water purification.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2228298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Adiel Coca</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Elizabeth Roberts</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Joshua Dudley</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Liana A. Feinn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Southern CT State University, New Haven, CT, United States. </w:t>
                  </w:r>
                  <w:r w:rsidRPr="0005639F">
                    <w:rPr>
                      <w:rFonts w:ascii="Times New Roman" w:eastAsia="Times New Roman" w:hAnsi="Times New Roman" w:cs="Times New Roman"/>
                      <w:sz w:val="20"/>
                      <w:szCs w:val="20"/>
                    </w:rPr>
                    <w:br/>
                    <w:t xml:space="preserve">2. Biology, Southern Connecticut State University, New Haven,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1" w:anchor="2228298" w:history="1">
                    <w:r w:rsidRPr="0005639F">
                      <w:rPr>
                        <w:rFonts w:ascii="Times New Roman" w:eastAsia="Times New Roman" w:hAnsi="Times New Roman" w:cs="Times New Roman"/>
                        <w:color w:val="0000FF"/>
                        <w:sz w:val="20"/>
                        <w:szCs w:val="20"/>
                        <w:u w:val="single"/>
                      </w:rPr>
                      <w:t>Antibiotic activity of 5-substituted 1</w:t>
                    </w:r>
                    <w:r w:rsidRPr="0005639F">
                      <w:rPr>
                        <w:rFonts w:ascii="Times New Roman" w:eastAsia="Times New Roman" w:hAnsi="Times New Roman" w:cs="Times New Roman"/>
                        <w:i/>
                        <w:iCs/>
                        <w:color w:val="0000FF"/>
                        <w:sz w:val="20"/>
                        <w:szCs w:val="20"/>
                        <w:u w:val="single"/>
                      </w:rPr>
                      <w:t>H</w:t>
                    </w:r>
                    <w:r w:rsidRPr="0005639F">
                      <w:rPr>
                        <w:rFonts w:ascii="Times New Roman" w:eastAsia="Times New Roman" w:hAnsi="Times New Roman" w:cs="Times New Roman"/>
                        <w:color w:val="0000FF"/>
                        <w:sz w:val="20"/>
                        <w:szCs w:val="20"/>
                        <w:u w:val="single"/>
                      </w:rPr>
                      <w:t>-tetrazoles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Several tetrazole derivatives were evaluated for antibacterial activity against </w:t>
                  </w:r>
                  <w:r w:rsidRPr="0005639F">
                    <w:rPr>
                      <w:rFonts w:ascii="Times New Roman" w:eastAsia="Times New Roman" w:hAnsi="Times New Roman" w:cs="Times New Roman"/>
                      <w:i/>
                      <w:iCs/>
                      <w:sz w:val="20"/>
                      <w:szCs w:val="20"/>
                    </w:rPr>
                    <w:t>Staphylococcus aureus</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i/>
                      <w:iCs/>
                      <w:sz w:val="20"/>
                      <w:szCs w:val="20"/>
                    </w:rPr>
                    <w:t>Escherichia coli</w:t>
                  </w:r>
                  <w:r w:rsidRPr="0005639F">
                    <w:rPr>
                      <w:rFonts w:ascii="Times New Roman" w:eastAsia="Times New Roman" w:hAnsi="Times New Roman" w:cs="Times New Roman"/>
                      <w:sz w:val="20"/>
                      <w:szCs w:val="20"/>
                    </w:rPr>
                    <w:t xml:space="preserve">, and </w:t>
                  </w:r>
                  <w:r w:rsidRPr="0005639F">
                    <w:rPr>
                      <w:rFonts w:ascii="Times New Roman" w:eastAsia="Times New Roman" w:hAnsi="Times New Roman" w:cs="Times New Roman"/>
                      <w:i/>
                      <w:iCs/>
                      <w:sz w:val="20"/>
                      <w:szCs w:val="20"/>
                    </w:rPr>
                    <w:t>Pseudomonas aeruginosa</w:t>
                  </w:r>
                  <w:r w:rsidRPr="0005639F">
                    <w:rPr>
                      <w:rFonts w:ascii="Times New Roman" w:eastAsia="Times New Roman" w:hAnsi="Times New Roman" w:cs="Times New Roman"/>
                      <w:sz w:val="20"/>
                      <w:szCs w:val="20"/>
                    </w:rPr>
                    <w:t>. Most derivatives showed significant antibacterial activity and many derivatives exhibited a minimum inhibitory concentration below 250 μg/mL.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2280684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Jennifer Finan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St. Lawrence University , Canton ,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2" w:anchor="2280684" w:history="1">
                    <w:r w:rsidRPr="0005639F">
                      <w:rPr>
                        <w:rFonts w:ascii="Times New Roman" w:eastAsia="Times New Roman" w:hAnsi="Times New Roman" w:cs="Times New Roman"/>
                        <w:color w:val="0000FF"/>
                        <w:sz w:val="20"/>
                        <w:szCs w:val="20"/>
                        <w:u w:val="single"/>
                      </w:rPr>
                      <w:t>The Role of Water in the DNA Doxorubicin Intercalation Mechanism</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chemotherapeutic drug doxorubicin intercalates into the DNA double helix preventing DNA replication. The highly effective drug is also toxic; therefore the specifics of the intercalation mechanism are of unique interest to minimize side effects. It is known that there is a hydration layer around the DNA double helix that is involved with the mechanism. The titration of doxorubicin with different DNAs is used to enhance the understanding of the mechanism of intercalation; specifically the importance of water in the binding of doxorubicin to DNA. The binding constant of doxorubicin is found by measuring the fluorescence of the drug molecule in solution with gradually added osmolyte. The binding constants with various DNAs (calf thymus, poly(dA•dT), and poly (dG•dC) are tested with two osmolytes: acetamide and triethyleneglycol (TEG). Our data fitting procedure uses the Gibbs-Duhem equation to evaluate the number of water molecules exchanged in the intercalation of doxorubicin. The water exchange values for the DNAs are different, although the CT and AT values are similar at +37 (acetamide) and +38 (TEG) water, respectively. The GC DNA has a much lower but also positive exchange of +8 waters. Differences in water exchange values for different osmolotyes in the GC and AT studies will be investigated by DNA melting experiment that are sensitive to DNA stability in the presence of acetamide and TEG.</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2287414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Nicolas J. Blobel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P. Katt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Richard A. Cerione</w:t>
                  </w:r>
                  <w:r w:rsidRPr="0005639F">
                    <w:rPr>
                      <w:rFonts w:ascii="Times New Roman" w:eastAsia="Times New Roman" w:hAnsi="Times New Roman" w:cs="Times New Roman"/>
                      <w:sz w:val="20"/>
                      <w:szCs w:val="20"/>
                      <w:vertAlign w:val="superscript"/>
                    </w:rPr>
                    <w:t>1, 2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Molecular Medicine, Cornell University, Brooktondale, NY, United States. </w:t>
                  </w:r>
                  <w:r w:rsidRPr="0005639F">
                    <w:rPr>
                      <w:rFonts w:ascii="Times New Roman" w:eastAsia="Times New Roman" w:hAnsi="Times New Roman" w:cs="Times New Roman"/>
                      <w:sz w:val="20"/>
                      <w:szCs w:val="20"/>
                    </w:rPr>
                    <w:br/>
                    <w:t xml:space="preserve">2.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3" w:anchor="2287414" w:history="1">
                    <w:r w:rsidRPr="0005639F">
                      <w:rPr>
                        <w:rFonts w:ascii="Times New Roman" w:eastAsia="Times New Roman" w:hAnsi="Times New Roman" w:cs="Times New Roman"/>
                        <w:color w:val="0000FF"/>
                        <w:sz w:val="20"/>
                        <w:szCs w:val="20"/>
                        <w:u w:val="single"/>
                      </w:rPr>
                      <w:t>The Small Molecule t5749 Inhibits the Crosslinking Activity of Tissue Transglutaminase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Tissue Transglutaminase (tTG) is a protein crosslinking enzyme that is upregulated in many different types of cancers. The enzyme is implicated in a number of key cellular processes that are linked to cancer progression, including promoting cell survival. tTG has the ability to adopt two vastly different conformations: an ‘open’, crosslinking active conformation and a ‘closed’, crosslinking inactive conformation. We have found that mutant forms of tTG that adopt a constitutively ‘open’ conformation in cancer cells are highly toxic. Moreover, conventional tTG inhibitors, such as Z-Don, stabilize the ‘open’ conformation of tTG, making it difficult to differentiate the effects of inhibiting tTG crosslinking activity from the innate toxicity of its ‘open’ conformation. As such, we became interested in finding a small molecule, which would inhibit tTG but not stabilize the ‘open’ conformation of the enzyme.</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We began by examining a large library of commercially available molecules via a virtual screening approach, docking each molecule to the substrate pocket of ‘open’ conformation tTG – the inhibitory pocket utilized by the potent inhibitor Z-Don. We then screened the top hits in a biochemical assay. One compound, t5749, significantly decreased the crosslinking activity of tTG and had a good predicted steric fit into the tTG substrate pocket. Upon further examination, we determined that t5749 did not stabilize the ‘open’ conformation of tTG, even at concentrations higher than those required to inhibit tTG crosslinking activity.</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Our results suggest that t5749 provides an interesting chemical scaffold which inhibits tTG crosslinking activity while not causing tTG to adopt an ‘open’ conformation, in contrast to more traditional inhibitors like Z-Don. With further investigation, we believe t5749 may become an interesting tool for use in decoupling the effects of cytotoxic ‘open’ conformation tTG from the effects of inhibiting tTG mediated crosslinking in cancer cells.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2289720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Katherine Pearce</w:t>
                  </w:r>
                  <w:r w:rsidRPr="0005639F">
                    <w:rPr>
                      <w:rFonts w:ascii="Times New Roman" w:eastAsia="Times New Roman" w:hAnsi="Times New Roman" w:cs="Times New Roman"/>
                      <w:sz w:val="20"/>
                      <w:szCs w:val="20"/>
                      <w:vertAlign w:val="superscript"/>
                    </w:rPr>
                    <w:t>4</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Anna S. Piasecki</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Omer Hajder</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Daniel A. Barr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Utica College, Utica, NY, United States. </w:t>
                  </w:r>
                  <w:r w:rsidRPr="0005639F">
                    <w:rPr>
                      <w:rFonts w:ascii="Times New Roman" w:eastAsia="Times New Roman" w:hAnsi="Times New Roman" w:cs="Times New Roman"/>
                      <w:sz w:val="20"/>
                      <w:szCs w:val="20"/>
                    </w:rPr>
                    <w:br/>
                    <w:t xml:space="preserve">2. Chemistry and Biochemistry, Utica College, Utica, NY, United States. </w:t>
                  </w:r>
                  <w:r w:rsidRPr="0005639F">
                    <w:rPr>
                      <w:rFonts w:ascii="Times New Roman" w:eastAsia="Times New Roman" w:hAnsi="Times New Roman" w:cs="Times New Roman"/>
                      <w:sz w:val="20"/>
                      <w:szCs w:val="20"/>
                    </w:rPr>
                    <w:br/>
                    <w:t xml:space="preserve">3. Chemistry and Biochemistry, Utica College, Utica, NY, United States. </w:t>
                  </w:r>
                  <w:r w:rsidRPr="0005639F">
                    <w:rPr>
                      <w:rFonts w:ascii="Times New Roman" w:eastAsia="Times New Roman" w:hAnsi="Times New Roman" w:cs="Times New Roman"/>
                      <w:sz w:val="20"/>
                      <w:szCs w:val="20"/>
                    </w:rPr>
                    <w:br/>
                    <w:t xml:space="preserve">4. Chemistry and Biochemistry, Utica College, Utica,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4" w:anchor="2289720" w:history="1">
                    <w:r w:rsidRPr="0005639F">
                      <w:rPr>
                        <w:rFonts w:ascii="Times New Roman" w:eastAsia="Times New Roman" w:hAnsi="Times New Roman" w:cs="Times New Roman"/>
                        <w:color w:val="0000FF"/>
                        <w:sz w:val="20"/>
                        <w:szCs w:val="20"/>
                        <w:u w:val="single"/>
                      </w:rPr>
                      <w:t>Dihydrofolate Reductase Inhibitor Pharmacophore Development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Dihydrofolate reductase catalyzes the reduction of dihydrofolate to tetrahydrofolate. Tetrahydrofolate is essential for DNA and RNA synthesis because it synthesizes both purines and pyrimidines. A dihydrofolate reductase inhibitor would stop the production of tetrahydrofolate which in turn, would stop DNA synthesis, allowing for possible cancer treatment. Through the various Cresset tools, Spark and Forge, it was found that there is a possible pharmocophore to achieve these results. Six analogs of dihydrofolate reductase were run against the lingand, methotrexate, and analyzed to acquire this potential pharmocophore. We provide a structure-based rationalization of our hypothesized pharmacophore.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2289740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Gabrielle Abbott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Daniel A. Barr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Utica College, Utica,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5" w:anchor="2289740" w:history="1">
                    <w:r w:rsidRPr="0005639F">
                      <w:rPr>
                        <w:rFonts w:ascii="Times New Roman" w:eastAsia="Times New Roman" w:hAnsi="Times New Roman" w:cs="Times New Roman"/>
                        <w:color w:val="0000FF"/>
                        <w:sz w:val="20"/>
                        <w:szCs w:val="20"/>
                        <w:u w:val="single"/>
                      </w:rPr>
                      <w:t>Pharmacophore Development and Drug Design Based on DNMT1</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Rational drug design is used on the forefront of medication development and pharmaceutical design. Thousands of lead drugs and analogs can be determined through the use of computer modeling and drug design. Implications in anti-cancer drug therapy concerning DNMT1 (DNA (cytosine-5)-Methyltransferase 1) have been made through rational drug design processes. Existing DNMT1 nucleoside analogs bind in the active site of the protein, where this paper focuses on new drug candidates that will bind and interact at the DNA binding site. Prevention of methylation to the daughter strand of hemimethylated DNA because abnormal and distinct methylation patters have been observed in come cancers. DNA methylation can directly inhibit the expression of genes or increase the probability that affected genes undergo a mutational event so, in this case, there is documentation showing that meythlation in the promoter region of certain tumor suppressor genes will result in failure to express functional proteins. Discovering both a pharmacophore and a drug candidate to bind at the DNA binding site of DNMT1 could change the way drug companies may view pharmaceutical techniques for DNMT1 </w:t>
                  </w:r>
                  <w:r w:rsidRPr="0005639F">
                    <w:rPr>
                      <w:rFonts w:ascii="Times New Roman" w:eastAsia="Times New Roman" w:hAnsi="Times New Roman" w:cs="Times New Roman"/>
                      <w:sz w:val="20"/>
                      <w:szCs w:val="20"/>
                    </w:rPr>
                    <w:lastRenderedPageBreak/>
                    <w:t>inhibition. This article aims to present both the process and outcome of DNMT1 DNA binding mimetics for the treatment of cancer.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2289742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Cassandra McNitt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Phu Do</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Trieu Le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Daniel A. Barr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Utica College, Utica, NY, United States. </w:t>
                  </w:r>
                  <w:r w:rsidRPr="0005639F">
                    <w:rPr>
                      <w:rFonts w:ascii="Times New Roman" w:eastAsia="Times New Roman" w:hAnsi="Times New Roman" w:cs="Times New Roman"/>
                      <w:sz w:val="20"/>
                      <w:szCs w:val="20"/>
                    </w:rPr>
                    <w:br/>
                    <w:t xml:space="preserve">2. Chemistry and Biochemistry , Utica College, Utica,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6" w:anchor="2289742" w:history="1">
                    <w:r w:rsidRPr="0005639F">
                      <w:rPr>
                        <w:rFonts w:ascii="Times New Roman" w:eastAsia="Times New Roman" w:hAnsi="Times New Roman" w:cs="Times New Roman"/>
                        <w:color w:val="0000FF"/>
                        <w:sz w:val="20"/>
                        <w:szCs w:val="20"/>
                        <w:u w:val="single"/>
                      </w:rPr>
                      <w:t>Pharmacophore Model and Drug Design Targeting MepA</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MepA is a multidrug export protein belonging to multidrug and toxin extrusion (MATE) family found from </w:t>
                  </w:r>
                  <w:r w:rsidRPr="0005639F">
                    <w:rPr>
                      <w:rFonts w:ascii="Times New Roman" w:eastAsia="Times New Roman" w:hAnsi="Times New Roman" w:cs="Times New Roman"/>
                      <w:i/>
                      <w:iCs/>
                      <w:sz w:val="20"/>
                      <w:szCs w:val="20"/>
                    </w:rPr>
                    <w:t>Staphylococcus aureus</w:t>
                  </w:r>
                  <w:r w:rsidRPr="0005639F">
                    <w:rPr>
                      <w:rFonts w:ascii="Times New Roman" w:eastAsia="Times New Roman" w:hAnsi="Times New Roman" w:cs="Times New Roman"/>
                      <w:sz w:val="20"/>
                      <w:szCs w:val="20"/>
                    </w:rPr>
                    <w:t>. Structural data with high-resolution of MepA and MepA-ligand binding are limited, which makes the study about drugs inhibiting MepA more difficult. The purpose of this study is to find the pharmacophore for MepA inhibitor based on the reported MepA binding data using biocides and dyes. We used the Forge program to examine structure activity relationship (SAR), activity miner, and field differences of the various known substrates to find out the pharmacophore. Substrate moxifloxacin has the best activity, and showed that the potential MepA inhibitor should include clear charge separation, in which the protein binding site should be positive, while the solvent interacting site prefers exposed oxygen rather than methylated nitrogen. Furthermore, the pharmacophore also indicated planar was preferred over other types of geometry. Double bonds or rings were included in the pharmacophore to stabilize the protein-binding site. After modifying the structure of moxifloxacin to increase the activity, we linked that new substrate to the long linear carbon tail of centrimonium bromide. The tail was designed to embed in the lipid membrane of the vesicles to enhance the drug delivery across the cell membrane.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2289754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Medicinal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Daniel A. Barr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Tasha Davis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Andrenna Sykes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Kelsey Ross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Biochemistry, Utica College, Utica,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7" w:anchor="2289754" w:history="1">
                    <w:r w:rsidRPr="0005639F">
                      <w:rPr>
                        <w:rFonts w:ascii="Times New Roman" w:eastAsia="Times New Roman" w:hAnsi="Times New Roman" w:cs="Times New Roman"/>
                        <w:color w:val="0000FF"/>
                        <w:sz w:val="20"/>
                        <w:szCs w:val="20"/>
                        <w:u w:val="single"/>
                      </w:rPr>
                      <w:t>Novel Pharmacophore Analysis of Morphine Analogs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Since the first drugs had been discovered, drug production has become increasingly effective for the treatment of known diseases. More specifically, many psychological disorders have been treated using drugs that bind to hormonal</w:t>
                  </w:r>
                  <w:r w:rsidRPr="0005639F">
                    <w:rPr>
                      <w:rFonts w:ascii="Times New Roman" w:eastAsia="Times New Roman" w:hAnsi="Times New Roman" w:cs="Times New Roman"/>
                      <w:sz w:val="20"/>
                      <w:szCs w:val="20"/>
                    </w:rPr>
                    <w:softHyphen/>
                    <w:t xml:space="preserve">based receptors in the body. In this research, we will use computational studies to modify and develop a pharmacophore that is more selective in decreasing the side effects resulting from the binding of drugs to </w:t>
                  </w:r>
                  <w:r w:rsidRPr="0005639F">
                    <w:rPr>
                      <w:rFonts w:ascii="Times New Roman" w:eastAsia="Times New Roman" w:hAnsi="Times New Roman" w:cs="Times New Roman"/>
                      <w:sz w:val="20"/>
                      <w:szCs w:val="20"/>
                    </w:rPr>
                    <w:lastRenderedPageBreak/>
                    <w:t>the μ</w:t>
                  </w:r>
                  <w:r w:rsidRPr="0005639F">
                    <w:rPr>
                      <w:rFonts w:ascii="Times New Roman" w:eastAsia="Times New Roman" w:hAnsi="Times New Roman" w:cs="Times New Roman"/>
                      <w:sz w:val="20"/>
                      <w:szCs w:val="20"/>
                    </w:rPr>
                    <w:softHyphen/>
                    <w:t>opioid receptor. There are three opioid receptors in the body, all of which the drug has a possibility of binding to. In order to minimize addictive properties, the drug must act as an agonist to the μ</w:t>
                  </w:r>
                  <w:r w:rsidRPr="0005639F">
                    <w:rPr>
                      <w:rFonts w:ascii="Times New Roman" w:eastAsia="Times New Roman" w:hAnsi="Times New Roman" w:cs="Times New Roman"/>
                      <w:sz w:val="20"/>
                      <w:szCs w:val="20"/>
                    </w:rPr>
                    <w:softHyphen/>
                    <w:t>opioid receptor and an antagonist to the δ</w:t>
                  </w:r>
                  <w:r w:rsidRPr="0005639F">
                    <w:rPr>
                      <w:rFonts w:ascii="Times New Roman" w:eastAsia="Times New Roman" w:hAnsi="Times New Roman" w:cs="Times New Roman"/>
                      <w:sz w:val="20"/>
                      <w:szCs w:val="20"/>
                    </w:rPr>
                    <w:softHyphen/>
                    <w:t>opioid receptor. Computational analyses shows the ligand, β</w:t>
                  </w:r>
                  <w:r w:rsidRPr="0005639F">
                    <w:rPr>
                      <w:rFonts w:ascii="Times New Roman" w:eastAsia="Times New Roman" w:hAnsi="Times New Roman" w:cs="Times New Roman"/>
                      <w:sz w:val="20"/>
                      <w:szCs w:val="20"/>
                    </w:rPr>
                    <w:softHyphen/>
                    <w:t>funal trexamine, is surrounded by a region of hydrophobic amino acids when bound to the active site. The structure of the ligand indicates the pharmacophore should contain a complex nitrogenized ring structure. It is observed that the presence of methyl groups, as well as cyclic rings increase the drug’s overall activity.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2224847</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Kent S. Marshall</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Mail Drop BC SCI, Quinnipiac Univ, Hamden, CT,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8" w:anchor="2224847" w:history="1">
                    <w:r w:rsidRPr="0005639F">
                      <w:rPr>
                        <w:rFonts w:ascii="Times New Roman" w:eastAsia="Times New Roman" w:hAnsi="Times New Roman" w:cs="Times New Roman"/>
                        <w:color w:val="0000FF"/>
                        <w:sz w:val="20"/>
                        <w:szCs w:val="20"/>
                        <w:u w:val="single"/>
                      </w:rPr>
                      <w:t>A study of hydrophobic vs. hydrophilic componets of molecules in C3 to C10 acylic imide synthesis: An undergraduate research project</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original approach to the synthesis of N-vanillyl-di-(8-methyl-6-nonen)imide </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xml:space="preserve"> involved the N-alkylation of a symmetrical acyclic imide </w:t>
                  </w:r>
                  <w:r w:rsidRPr="0005639F">
                    <w:rPr>
                      <w:rFonts w:ascii="Times New Roman" w:eastAsia="Times New Roman" w:hAnsi="Times New Roman" w:cs="Times New Roman"/>
                      <w:b/>
                      <w:bCs/>
                      <w:sz w:val="20"/>
                      <w:szCs w:val="20"/>
                    </w:rPr>
                    <w:t>2</w:t>
                  </w:r>
                  <w:r w:rsidRPr="0005639F">
                    <w:rPr>
                      <w:rFonts w:ascii="Times New Roman" w:eastAsia="Times New Roman" w:hAnsi="Times New Roman" w:cs="Times New Roman"/>
                      <w:sz w:val="20"/>
                      <w:szCs w:val="20"/>
                    </w:rPr>
                    <w:t xml:space="preserve">. When the R group was 2 carbons the preparation of imide </w:t>
                  </w:r>
                  <w:r w:rsidRPr="0005639F">
                    <w:rPr>
                      <w:rFonts w:ascii="Times New Roman" w:eastAsia="Times New Roman" w:hAnsi="Times New Roman" w:cs="Times New Roman"/>
                      <w:b/>
                      <w:bCs/>
                      <w:sz w:val="20"/>
                      <w:szCs w:val="20"/>
                    </w:rPr>
                    <w:t>2</w:t>
                  </w:r>
                  <w:r w:rsidRPr="0005639F">
                    <w:rPr>
                      <w:rFonts w:ascii="Times New Roman" w:eastAsia="Times New Roman" w:hAnsi="Times New Roman" w:cs="Times New Roman"/>
                      <w:sz w:val="20"/>
                      <w:szCs w:val="20"/>
                    </w:rPr>
                    <w:t xml:space="preserve"> went very smoothly. However, increasing the R group to 9 carbons [the desired size] the process completely failed. This approach was then abandoned and an alternate approach was attempted. Large acyclic imides have been synthetic challenges with only a few mthods reported for their construction. This project was based on the procedure of Davidson and Shovronek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which involved a one pot reaction between 1 eq. of amide, 1.1 eq, of acid anhydride and 1 eq. of acid chloride to prevent nitrile formation. The current project was to study the relationship between the hydrophobic side chain and the hydrophilic carbonyl moiety during imide formation .At what carbon size does the hyrophobic portion override the hydrophilic portion resulting in no or very little imide product formation. Experiments involved going from C-3 to C-10. Reaction % yields (of recrystallized imides) were used to access the comparison. Preliminary results were C-3 30%; C-4 35.8%; C-5 37.3%; C-6 33.8%; C-7 9.11%; C-8 15%; C-910.3% and C-10 2.2%. A marked decrease occurred at C-7.</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D. Davison and H. Skovronek, </w:t>
                  </w:r>
                  <w:r w:rsidRPr="0005639F">
                    <w:rPr>
                      <w:rFonts w:ascii="Times New Roman" w:eastAsia="Times New Roman" w:hAnsi="Times New Roman" w:cs="Times New Roman"/>
                      <w:i/>
                      <w:iCs/>
                      <w:sz w:val="20"/>
                      <w:szCs w:val="20"/>
                    </w:rPr>
                    <w:t xml:space="preserve">J. Amer. Chem. Soc., </w:t>
                  </w:r>
                  <w:r w:rsidRPr="0005639F">
                    <w:rPr>
                      <w:rFonts w:ascii="Times New Roman" w:eastAsia="Times New Roman" w:hAnsi="Times New Roman" w:cs="Times New Roman"/>
                      <w:b/>
                      <w:bCs/>
                      <w:i/>
                      <w:iCs/>
                      <w:sz w:val="20"/>
                      <w:szCs w:val="20"/>
                    </w:rPr>
                    <w:t>80</w:t>
                  </w:r>
                  <w:r w:rsidRPr="0005639F">
                    <w:rPr>
                      <w:rFonts w:ascii="Times New Roman" w:eastAsia="Times New Roman" w:hAnsi="Times New Roman" w:cs="Times New Roman"/>
                      <w:i/>
                      <w:iCs/>
                      <w:sz w:val="20"/>
                      <w:szCs w:val="20"/>
                    </w:rPr>
                    <w:t>, 376 (1958).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r w:rsidRPr="0005639F">
                    <w:rPr>
                      <w:rFonts w:ascii="Times New Roman" w:eastAsia="Times New Roman" w:hAnsi="Times New Roman" w:cs="Times New Roman"/>
                      <w:sz w:val="20"/>
                      <w:szCs w:val="20"/>
                    </w:rPr>
                    <w:t>Accept</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4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2286255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Katrina M. Piemonte</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Michael Haaf</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David T. Mc Quade</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Biochemistry/Chemistry, Ithaca College, Rome, NY, United States. </w:t>
                  </w:r>
                  <w:r w:rsidRPr="0005639F">
                    <w:rPr>
                      <w:rFonts w:ascii="Times New Roman" w:eastAsia="Times New Roman" w:hAnsi="Times New Roman" w:cs="Times New Roman"/>
                      <w:sz w:val="20"/>
                      <w:szCs w:val="20"/>
                    </w:rPr>
                    <w:br/>
                    <w:t xml:space="preserve">2. Chemistry, Florida State University, Tallahassee, FL,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79" w:anchor="2286255" w:history="1">
                    <w:r w:rsidRPr="0005639F">
                      <w:rPr>
                        <w:rFonts w:ascii="Times New Roman" w:eastAsia="Times New Roman" w:hAnsi="Times New Roman" w:cs="Times New Roman"/>
                        <w:color w:val="0000FF"/>
                        <w:sz w:val="20"/>
                        <w:szCs w:val="20"/>
                        <w:u w:val="single"/>
                      </w:rPr>
                      <w:t>Synthesis of Indigo in Flow</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vat dyeing industry is a multimillion dollar business that produces and uses 120,000 tons of vat dyes, such as indigo, each year. Vat dyes are characteristically insoluble in water. However, the reduction of vat dyes to a soluble form can be done through the use of aqueous sodium dithionite, which is a hazardous reagent. The reduced form of indigo, leuco-indigo, is easily oxidized to indigo when exposed to air, after it has been embedded into the fiber. By synthesizing indigo in flow, we are able to produce and capture indigo in fibers as it is forming, eliminating the need for the reduction step. This helps to minimize the use of water and reducing agent, reduces harmful waste, and cuts down on the time and money required for additional processing steps. The product stream can further be coupled to an aerosol, facilitating the formation of a “sprayable” form of indigo. Once dry, the indigo appears to be colorfast. In addition to the synthesis of indigo in flow, progress toward creation of fully conjugated polymers from monomeric indigo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2288878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stephen tyndall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Fai Wong</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Melissa A. Vanalstine-Parris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Adelphi, Garden city,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0" w:anchor="2288878" w:history="1">
                    <w:r w:rsidRPr="0005639F">
                      <w:rPr>
                        <w:rFonts w:ascii="Times New Roman" w:eastAsia="Times New Roman" w:hAnsi="Times New Roman" w:cs="Times New Roman"/>
                        <w:color w:val="0000FF"/>
                        <w:sz w:val="20"/>
                        <w:szCs w:val="20"/>
                        <w:u w:val="single"/>
                      </w:rPr>
                      <w:br/>
                    </w:r>
                    <w:r w:rsidRPr="0005639F">
                      <w:rPr>
                        <w:rFonts w:ascii="Times New Roman" w:eastAsia="Times New Roman" w:hAnsi="Times New Roman" w:cs="Times New Roman"/>
                        <w:b/>
                        <w:bCs/>
                        <w:color w:val="0000FF"/>
                        <w:sz w:val="20"/>
                        <w:szCs w:val="20"/>
                        <w:u w:val="single"/>
                      </w:rPr>
                      <w:t>Further investigation into the mechanism for the synthesis of 7-hydroxy-4-substitutedcoumarin via the von Pechmann condensation reaction.</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The Pechmann condensation reaction is a common method used to synthesize coumarins. Three mechanisms have been proposed but there is no experimental data to back up these mechanisms. Through the use of </w:t>
                  </w:r>
                  <w:r w:rsidRPr="0005639F">
                    <w:rPr>
                      <w:rFonts w:ascii="Times New Roman" w:eastAsia="Times New Roman" w:hAnsi="Times New Roman" w:cs="Times New Roman"/>
                      <w:sz w:val="20"/>
                      <w:szCs w:val="20"/>
                      <w:vertAlign w:val="superscript"/>
                    </w:rPr>
                    <w:t>19</w:t>
                  </w:r>
                  <w:r w:rsidRPr="0005639F">
                    <w:rPr>
                      <w:rFonts w:ascii="Times New Roman" w:eastAsia="Times New Roman" w:hAnsi="Times New Roman" w:cs="Times New Roman"/>
                      <w:sz w:val="20"/>
                      <w:szCs w:val="20"/>
                    </w:rPr>
                    <w:t xml:space="preserve">F and </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H NMR, the reaction of resorcinol and ethyl 4,4,4-trifluoroacetoacetate with molecular iodine to form 7-hydroxy-4-trifluoromethylcoumarin was monitored and two intermediates were observed. These intermediates were isolated and identified, supporting the mechanism of electrophilic aromatic substitution followed by transesterification and then dehydration. When ethyl acetoacetate is used, the reaction proceeds faster, at a lower temperature and requires less catalyst. The electronic effects of the β-keto ester and the role of the catalyst are currently being investigated and will be discussed.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2288920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Annie E. Dineen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Jodie T. Fahey</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 Mount Saint Mary College , Middletown, NY, United States. </w:t>
                  </w:r>
                  <w:r w:rsidRPr="0005639F">
                    <w:rPr>
                      <w:rFonts w:ascii="Times New Roman" w:eastAsia="Times New Roman" w:hAnsi="Times New Roman" w:cs="Times New Roman"/>
                      <w:sz w:val="20"/>
                      <w:szCs w:val="20"/>
                    </w:rPr>
                    <w:br/>
                    <w:t xml:space="preserve">2. Division of Natural Sciences, Mount Saint Mary College, Highland,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1" w:anchor="2288920" w:history="1">
                    <w:r w:rsidRPr="0005639F">
                      <w:rPr>
                        <w:rFonts w:ascii="Times New Roman" w:eastAsia="Times New Roman" w:hAnsi="Times New Roman" w:cs="Times New Roman"/>
                        <w:color w:val="0000FF"/>
                        <w:sz w:val="20"/>
                        <w:szCs w:val="20"/>
                        <w:u w:val="single"/>
                      </w:rPr>
                      <w:t>Microwave Assisted Green Synthesis of Aspirin Using Soda and Juice Catalysts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Green chemistry aims to devise processes that reduce or eliminate the production of harmful or hazardous substances. Using microwave synthesis and green solvents (sodas and fruit juices) in place of sulfuric acid, salicylic acid (obtained via hydrolysis of methyl salicylate) was successfully converted to aspirin at an average yield of 74% (individual yields were dependent on type of soda/juice). The successful synthesis is part of a first semester undergraduate organic chemistry multi-week experiment. Organic chemistry student obtained yields comparable and were verified using techniques such as IR spectroscopy and melting point.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2290874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Adonis A. Cruz</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Melanie K. Patterson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Vernon E. Lawson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Grace E. Hutton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Alysa B. Sadkin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Justin S. Miller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Hobart and William Smith Colleges, Canandaigua,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2" w:anchor="2290874" w:history="1">
                    <w:r w:rsidRPr="0005639F">
                      <w:rPr>
                        <w:rFonts w:ascii="Times New Roman" w:eastAsia="Times New Roman" w:hAnsi="Times New Roman" w:cs="Times New Roman"/>
                        <w:color w:val="0000FF"/>
                        <w:sz w:val="20"/>
                        <w:szCs w:val="20"/>
                        <w:u w:val="single"/>
                      </w:rPr>
                      <w:t>Toward depsipeptidic potential anticancer compounds using latent thioester solid-phase synthesis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Cyclic, cysteine-containing, depsipeptidic potential HDAC inhibitors were targeted using a latent thioester-enabled solid-phase synthesis. After solid-phase preparation of the linear precursors, macrocyclization employing a latent thioester under various reactions conditions was employed in an effort to generate the title compounds. The target depsipeptides are intended as potential treatments for cancer and other ailments implicating HDAC. The solid-phase route is designed for generating compounds that can be used to evaluate the influence of various residue side chains on HDAC binding and the resulting biological implications in transformed cells.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2292178</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Rose Hwang</w:t>
                  </w:r>
                  <w:r w:rsidRPr="0005639F">
                    <w:rPr>
                      <w:rFonts w:ascii="Times New Roman" w:eastAsia="Times New Roman" w:hAnsi="Times New Roman" w:cs="Times New Roman"/>
                      <w:sz w:val="20"/>
                      <w:szCs w:val="20"/>
                      <w:vertAlign w:val="superscript"/>
                    </w:rPr>
                    <w:t>2</w:t>
                  </w:r>
                  <w:r w:rsidRPr="0005639F">
                    <w:rPr>
                      <w:rFonts w:ascii="Times New Roman" w:eastAsia="Times New Roman" w:hAnsi="Times New Roman" w:cs="Times New Roman"/>
                      <w:sz w:val="20"/>
                      <w:szCs w:val="20"/>
                    </w:rPr>
                    <w:t>, William J. Blanford</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Hydrology and Water Resources, University of Arizona, Flushing, NY, United States. </w:t>
                  </w:r>
                  <w:r w:rsidRPr="0005639F">
                    <w:rPr>
                      <w:rFonts w:ascii="Times New Roman" w:eastAsia="Times New Roman" w:hAnsi="Times New Roman" w:cs="Times New Roman"/>
                      <w:sz w:val="20"/>
                      <w:szCs w:val="20"/>
                    </w:rPr>
                    <w:br/>
                    <w:t xml:space="preserve">2. queens college, Flushing,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3" w:anchor="2292178" w:history="1">
                    <w:r w:rsidRPr="0005639F">
                      <w:rPr>
                        <w:rFonts w:ascii="Times New Roman" w:eastAsia="Times New Roman" w:hAnsi="Times New Roman" w:cs="Times New Roman"/>
                        <w:color w:val="0000FF"/>
                        <w:sz w:val="20"/>
                        <w:szCs w:val="20"/>
                        <w:u w:val="single"/>
                      </w:rPr>
                      <w:t>Evaluation of Molar Volume of Hydroxypropyl-β-Cyclodextrin in Aqueous Solutions as a</w:t>
                    </w:r>
                    <w:r w:rsidRPr="0005639F">
                      <w:rPr>
                        <w:rFonts w:ascii="Times New Roman" w:eastAsia="Times New Roman" w:hAnsi="Times New Roman" w:cs="Times New Roman"/>
                        <w:color w:val="0000FF"/>
                        <w:sz w:val="20"/>
                        <w:szCs w:val="20"/>
                        <w:u w:val="single"/>
                      </w:rPr>
                      <w:br/>
                      <w:t>Function of Temperature, Salinity, and Concentration of Potential Guest Compounds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Abstract: Abstract</w:t>
                  </w:r>
                  <w:r w:rsidRPr="0005639F">
                    <w:rPr>
                      <w:rFonts w:ascii="Times New Roman" w:eastAsia="Times New Roman" w:hAnsi="Times New Roman" w:cs="Times New Roman"/>
                      <w:sz w:val="20"/>
                      <w:szCs w:val="20"/>
                    </w:rPr>
                    <w:br/>
                    <w:t xml:space="preserve">A recently developed model of distribution of guest compounds between water, air, sorbent, cyclodextrin (CD) phases as a function of environmental variables was based on the partial molar volume of cyclodextrin and guest/cyclodextrin complexes. To better fulfill the potential of that model, an investigation of the partial molar </w:t>
                  </w:r>
                  <w:r w:rsidRPr="0005639F">
                    <w:rPr>
                      <w:rFonts w:ascii="Times New Roman" w:eastAsia="Times New Roman" w:hAnsi="Times New Roman" w:cs="Times New Roman"/>
                      <w:sz w:val="20"/>
                      <w:szCs w:val="20"/>
                    </w:rPr>
                    <w:lastRenderedPageBreak/>
                    <w:t>volume (</w:t>
                  </w:r>
                  <w:r w:rsidRPr="0005639F">
                    <w:rPr>
                      <w:rFonts w:ascii="Times New Roman" w:eastAsia="Times New Roman" w:hAnsi="Times New Roman" w:cs="Times New Roman"/>
                      <w:b/>
                      <w:bCs/>
                      <w:i/>
                      <w:iCs/>
                      <w:sz w:val="20"/>
                      <w:szCs w:val="20"/>
                    </w:rPr>
                    <w:t>Vᵩ</w:t>
                  </w:r>
                  <w:r w:rsidRPr="0005639F">
                    <w:rPr>
                      <w:rFonts w:ascii="Times New Roman" w:eastAsia="Times New Roman" w:hAnsi="Times New Roman" w:cs="Times New Roman"/>
                      <w:sz w:val="20"/>
                      <w:szCs w:val="20"/>
                    </w:rPr>
                    <w:t>) of cyclodextrin and CD-guest under a similar range of environmental conditions was performed. This effort was based on density measure from a relatively high accuracy liquid densimeter (±0.000005 g/cm</w:t>
                  </w:r>
                  <w:r w:rsidRPr="0005639F">
                    <w:rPr>
                      <w:rFonts w:ascii="Times New Roman" w:eastAsia="Times New Roman" w:hAnsi="Times New Roman" w:cs="Times New Roman"/>
                      <w:sz w:val="20"/>
                      <w:szCs w:val="20"/>
                      <w:vertAlign w:val="superscript"/>
                    </w:rPr>
                    <w:t>3</w:t>
                  </w:r>
                  <w:r w:rsidRPr="0005639F">
                    <w:rPr>
                      <w:rFonts w:ascii="Times New Roman" w:eastAsia="Times New Roman" w:hAnsi="Times New Roman" w:cs="Times New Roman"/>
                      <w:sz w:val="20"/>
                      <w:szCs w:val="20"/>
                    </w:rPr>
                    <w:t xml:space="preserve">) where we examined the partial molar volume of hydroxypropyl-β-cyclodextrin (HPβCD) and guest compounds such as toluene. This was performed over a range of temperatures (5 to 80°C) at 5° intervals and for statistical rigor, replicates of ten measurements were made. Toluene was chosen for close examination because it is both a contaminant commonly found at hazardous waste sites and it has a high occupation rate for CD molecules under saturated conditions (~52% at 22°C in aqueous solutions). To determine the relative temperature and concentration dependence on partial molar volume just of toluene, its </w:t>
                  </w:r>
                  <w:r w:rsidRPr="0005639F">
                    <w:rPr>
                      <w:rFonts w:ascii="Times New Roman" w:eastAsia="Times New Roman" w:hAnsi="Times New Roman" w:cs="Times New Roman"/>
                      <w:b/>
                      <w:bCs/>
                      <w:i/>
                      <w:iCs/>
                      <w:sz w:val="20"/>
                      <w:szCs w:val="20"/>
                    </w:rPr>
                    <w:t>Vᵩ</w:t>
                  </w:r>
                  <w:r w:rsidRPr="0005639F">
                    <w:rPr>
                      <w:rFonts w:ascii="Times New Roman" w:eastAsia="Times New Roman" w:hAnsi="Times New Roman" w:cs="Times New Roman"/>
                      <w:sz w:val="20"/>
                      <w:szCs w:val="20"/>
                    </w:rPr>
                    <w:t xml:space="preserve"> was examined over a range of concentrations in the absence of cyclic sugar. Since HPβCD is the most widely used CD derivative, we chose it as the subject cyclodextrin for close examination. Under condition similar to that of toluene, we examined its non-complexed </w:t>
                  </w:r>
                  <w:r w:rsidRPr="0005639F">
                    <w:rPr>
                      <w:rFonts w:ascii="Times New Roman" w:eastAsia="Times New Roman" w:hAnsi="Times New Roman" w:cs="Times New Roman"/>
                      <w:b/>
                      <w:bCs/>
                      <w:i/>
                      <w:iCs/>
                      <w:sz w:val="20"/>
                      <w:szCs w:val="20"/>
                    </w:rPr>
                    <w:t>Vᵩ</w:t>
                  </w:r>
                  <w:r w:rsidRPr="0005639F">
                    <w:rPr>
                      <w:rFonts w:ascii="Times New Roman" w:eastAsia="Times New Roman" w:hAnsi="Times New Roman" w:cs="Times New Roman"/>
                      <w:sz w:val="20"/>
                      <w:szCs w:val="20"/>
                    </w:rPr>
                    <w:t xml:space="preserve"> over a range of concentrations (0-200g/L) and temperatures. With their individual volume dependences defined, we then looked at potential influences of guest/CD complexes on the resulting partial molar volumes of these compounds as a function of temperature and relative ratios of these guest and host compounds. Preliminary results show that partial molar volumes of these molecules individually and combined increased with temperature and concentration. The combined solutions further showed the effects of increasing temperature decreased the stability of the guest/CD complex and the resulting </w:t>
                  </w:r>
                  <w:r w:rsidRPr="0005639F">
                    <w:rPr>
                      <w:rFonts w:ascii="Times New Roman" w:eastAsia="Times New Roman" w:hAnsi="Times New Roman" w:cs="Times New Roman"/>
                      <w:b/>
                      <w:bCs/>
                      <w:i/>
                      <w:iCs/>
                      <w:sz w:val="20"/>
                      <w:szCs w:val="20"/>
                    </w:rPr>
                    <w:t xml:space="preserve">Vᵩ. </w:t>
                  </w:r>
                  <w:r w:rsidRPr="0005639F">
                    <w:rPr>
                      <w:rFonts w:ascii="Times New Roman" w:eastAsia="Times New Roman" w:hAnsi="Times New Roman" w:cs="Times New Roman"/>
                      <w:sz w:val="20"/>
                      <w:szCs w:val="20"/>
                    </w:rPr>
                    <w:t>Finally, empirically based mathematical models were developed to describe molar volume as a function of temperature, CD and guest concentrations and the guest/CD partitioning coefficient. These models will subsequently be evaluated as to whether they enhance the accuracy of the previously develop phase distribution model.</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4"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2292203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Mihael Gerkman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Martin A. Walker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SUNY Potsdam,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4" w:anchor="2292203" w:history="1">
                    <w:r w:rsidRPr="0005639F">
                      <w:rPr>
                        <w:rFonts w:ascii="Times New Roman" w:eastAsia="Times New Roman" w:hAnsi="Times New Roman" w:cs="Times New Roman"/>
                        <w:color w:val="0000FF"/>
                        <w:sz w:val="20"/>
                        <w:szCs w:val="20"/>
                        <w:u w:val="single"/>
                      </w:rPr>
                      <w:t>Synthesis of a bis(vinyl sulfone) for use in polymer chemistry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 xml:space="preserve">Divinyl sulfone is a useful cross-linker for modifying the properties of polymers, but its application is limited. We set out to produce a bis(vinyl sulfone) such as </w:t>
                  </w:r>
                  <w:r w:rsidRPr="0005639F">
                    <w:rPr>
                      <w:rFonts w:ascii="Times New Roman" w:eastAsia="Times New Roman" w:hAnsi="Times New Roman" w:cs="Times New Roman"/>
                      <w:b/>
                      <w:bCs/>
                      <w:sz w:val="20"/>
                      <w:szCs w:val="20"/>
                    </w:rPr>
                    <w:t>1</w:t>
                  </w:r>
                  <w:r w:rsidRPr="0005639F">
                    <w:rPr>
                      <w:rFonts w:ascii="Times New Roman" w:eastAsia="Times New Roman" w:hAnsi="Times New Roman" w:cs="Times New Roman"/>
                      <w:sz w:val="20"/>
                      <w:szCs w:val="20"/>
                    </w:rPr>
                    <w:t xml:space="preserve"> or </w:t>
                  </w:r>
                  <w:r w:rsidRPr="0005639F">
                    <w:rPr>
                      <w:rFonts w:ascii="Times New Roman" w:eastAsia="Times New Roman" w:hAnsi="Times New Roman" w:cs="Times New Roman"/>
                      <w:b/>
                      <w:bCs/>
                      <w:sz w:val="20"/>
                      <w:szCs w:val="20"/>
                    </w:rPr>
                    <w:t>2</w:t>
                  </w:r>
                  <w:r w:rsidRPr="0005639F">
                    <w:rPr>
                      <w:rFonts w:ascii="Times New Roman" w:eastAsia="Times New Roman" w:hAnsi="Times New Roman" w:cs="Times New Roman"/>
                      <w:sz w:val="20"/>
                      <w:szCs w:val="20"/>
                    </w:rPr>
                    <w:t xml:space="preserve"> based around an aromatic ring framework, which is intended to produce a more rigid cross-linker. Traditional methods for preparing aryl vinyl sulfones involve hazardous intermediates (sulfur mustards), so we designed a safer synthesis beginning from commercially available compounds. First, 2-mercaptoethyl acetate was prepared from 2</w:t>
                  </w:r>
                  <w:r w:rsidRPr="0005639F">
                    <w:rPr>
                      <w:rFonts w:ascii="Times New Roman" w:eastAsia="Times New Roman" w:hAnsi="Times New Roman" w:cs="Times New Roman"/>
                      <w:sz w:val="20"/>
                      <w:szCs w:val="20"/>
                    </w:rPr>
                    <w:noBreakHyphen/>
                    <w:t>mercaptoethanol using acetic anhydride. Then the thiol group was cleanly attached to the aromatic ring system by reacting the copper(I) thiol salt with an aryl dihalide such as 1,4</w:t>
                  </w:r>
                  <w:r w:rsidRPr="0005639F">
                    <w:rPr>
                      <w:rFonts w:ascii="Times New Roman" w:eastAsia="Times New Roman" w:hAnsi="Times New Roman" w:cs="Times New Roman"/>
                      <w:sz w:val="20"/>
                      <w:szCs w:val="20"/>
                    </w:rPr>
                    <w:noBreakHyphen/>
                    <w:t>diiodobenzene or 4,4’</w:t>
                  </w:r>
                  <w:r w:rsidRPr="0005639F">
                    <w:rPr>
                      <w:rFonts w:ascii="Times New Roman" w:eastAsia="Times New Roman" w:hAnsi="Times New Roman" w:cs="Times New Roman"/>
                      <w:sz w:val="20"/>
                      <w:szCs w:val="20"/>
                    </w:rPr>
                    <w:noBreakHyphen/>
                    <w:t>diiodobiphenyl. The resultant bis(thioether) was then oxidized to the corresponding bis(sulfone) in good yield using MCPBA or peroxysulfate. We are currently studying the final step, the elimination of the bis(acetoxyethyl sulfone) to give the bis(vinyl sulfone), which will be evaluated for use with polymers.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r w:rsidRPr="0005639F">
                    <w:rPr>
                      <w:rFonts w:ascii="Times New Roman" w:eastAsia="Times New Roman" w:hAnsi="Times New Roman" w:cs="Times New Roman"/>
                      <w:sz w:val="20"/>
                      <w:szCs w:val="20"/>
                    </w:rPr>
                    <w:t>Presenter is an undergraduate student</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5"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2292255</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Shorouk Badir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William P. Malachowski</w:t>
                  </w:r>
                  <w:r w:rsidRPr="0005639F">
                    <w:rPr>
                      <w:rFonts w:ascii="Times New Roman" w:eastAsia="Times New Roman" w:hAnsi="Times New Roman" w:cs="Times New Roman"/>
                      <w:sz w:val="20"/>
                      <w:szCs w:val="20"/>
                      <w:vertAlign w:val="superscript"/>
                    </w:rPr>
                    <w:t>2</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Bryn Mawr College, Bryn Mawr, PA, United States. </w:t>
                  </w:r>
                  <w:r w:rsidRPr="0005639F">
                    <w:rPr>
                      <w:rFonts w:ascii="Times New Roman" w:eastAsia="Times New Roman" w:hAnsi="Times New Roman" w:cs="Times New Roman"/>
                      <w:sz w:val="20"/>
                      <w:szCs w:val="20"/>
                    </w:rPr>
                    <w:br/>
                    <w:t xml:space="preserve">2. Department of Chemistry, Bryn Mawr College, Bryn Mawr,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5" w:anchor="2292255" w:history="1">
                    <w:r w:rsidRPr="0005639F">
                      <w:rPr>
                        <w:rFonts w:ascii="Times New Roman" w:eastAsia="Times New Roman" w:hAnsi="Times New Roman" w:cs="Times New Roman"/>
                        <w:b/>
                        <w:bCs/>
                        <w:color w:val="0000FF"/>
                        <w:sz w:val="20"/>
                        <w:szCs w:val="20"/>
                        <w:u w:val="single"/>
                      </w:rPr>
                      <w:t>Synthesis of Inhibitor Molecules of Indoleamine 2,3-Dioxygenase (IDO)</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indoleamine 2,3-dioxygenase (IDO) enzyme inhibitors have demonstrated substantial therapeutic potential towards cancer. An IDO inhibitor is a small, drug-like molecule that hinders IDO, an enzyme known for driving immune escape, from inappropriately switching on in the presence of developing tumors. To date, the Malachowski lab at Bryn Mawr College has synthesized, optimized, and explored the properties of three structural classes of IDO: dithiocarbamates, the naphthoquinones, and the phenyl-imidazoles. Currently, the lab is exploring a new structural class of IDO inhibitors called O-alkylhydroxylamine hydrochlorides. This poster will present highly potent hydroxylamine compounds and their synthetic pathways. These compounds were sent to the Lankenau Institute of Medical Research for further investigation on their effect on mice tumors. A second important extension of the poster will focus on the enantiomerically selective synthesis of two hydroxylamine hydrochloride inhibitor molecules and their effects on the inhibition of IDO.</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6"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2292261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Azaline Dunlap-Smith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Matthew Rauch</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Arthur Greenberg</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Univ of New Hampshire, Durham, NH,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6" w:anchor="2292261" w:history="1">
                    <w:r w:rsidRPr="0005639F">
                      <w:rPr>
                        <w:rFonts w:ascii="Times New Roman" w:eastAsia="Times New Roman" w:hAnsi="Times New Roman" w:cs="Times New Roman"/>
                        <w:color w:val="0000FF"/>
                        <w:sz w:val="20"/>
                        <w:szCs w:val="20"/>
                        <w:u w:val="single"/>
                      </w:rPr>
                      <w:t>Exploration of the Synthesis of 1-Methyl-4-Silatranone: A Hyperstable Lactam and an Unprecedented Silatrane</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Silatranes are a unique group of tricyclic molecules with a nitrogen to silicon transannular dative bond. Silatranes have been studied for over 50 years with special attention to how the dative bond is influenced by substituents on the silicon atom, and have demonstrated potential in diverse fields ranging from medicine to polymer science. Until now, no research has been conducted with regard to influencing the dative bond via modification of the nitrogen interaction. This project involves the ongoing synthesis of 1-methyl-4-silatranone and preliminary computational analysis of the transannular bond within the silatranone. Completed precursors in the synthetic pathway include 2,2-dimethyl-5-oxo-1,3-dioxolane (glycolic acid acetonide) with a yield of 43.5 % and trace amounts of n-glycolyl-diethanolamine, which is synthesized from the glycolic acid acetonide and diethanolamine. Computational analysis of the transannular bond in the silatranone predicted a bond length of 2.965 Å in the gaseous phase relative to a calculated bond length of 2.60 Å for 1-methylsilatrane (experimental in gaseous phase is 2.45 Å). Preliminary data would seem to indicate that the nitrogen lone pair is shared between the carbonyl rather than the silicon, negating the transannular bond in favor of a hyperstable lactam structure.</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7"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2292440</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John Gillott</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Bradley Shank</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Holly T. Frederick</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Environmental Engineering and Earth Sciences, Wilkes University, Wilkes-Barre, PA,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7" w:anchor="2292440" w:history="1">
                    <w:r w:rsidRPr="0005639F">
                      <w:rPr>
                        <w:rFonts w:ascii="Times New Roman" w:eastAsia="Times New Roman" w:hAnsi="Times New Roman" w:cs="Times New Roman"/>
                        <w:color w:val="0000FF"/>
                        <w:sz w:val="20"/>
                        <w:szCs w:val="20"/>
                        <w:u w:val="single"/>
                      </w:rPr>
                      <w:t>Evaluation of Trace Organic Chemical Removal through Municipal Wastewater Treatment Plants using POCIS Samplers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Trace organic chemical removal through two different wastewater treatment plants was analyzed using polar organic chemical integrative samplers (POCIS). Samples were collected from both the influent and effluent of the Wyoming Valley Sanitary Authority and the Greater Hazleton Joint Sewer Authority in Luzerne County, Pennsylvania. Both municipal authorities use activated sludge treatment processes. In Hazleton the treatment process uses ultraviolet radiation for disinfection and employs tertiary treatment to remove nitrogen. In the Wyoming Valley Sanitary Authority no tertiary treatment processes are included and traditional chlorination is used for disinfection. The three chemicals analyzed were triclosan, fluoxetine, and caffeine. Aqueous composite samples were also analyzed for triclosan four times over the course of the sampling period. The goal of the project was to assess the effectiveness of POCIS samplers in extracting trace organics and allowing removal percentages to be determined. Initial results indicate that the POCIS samplers are effective at extracting the three selected compounds and can be used to determine average removal percentages. The POCIS results provide a composite sample that exhibits less variability as a result of stormwater infiltration than the 24 composite samples that were evaluated for triclosan.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8"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2292764</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Undergraduate Organic Chemistry - Poster</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Kaylyn A. Jeror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Hannah L. Jones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Jascha O. Teibel</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Martin A. Walker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SUNY Potsdam, Potsdam,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8" w:anchor="2292764" w:history="1">
                    <w:r w:rsidRPr="0005639F">
                      <w:rPr>
                        <w:rFonts w:ascii="Times New Roman" w:eastAsia="Times New Roman" w:hAnsi="Times New Roman" w:cs="Times New Roman"/>
                        <w:color w:val="0000FF"/>
                        <w:sz w:val="20"/>
                        <w:szCs w:val="20"/>
                        <w:u w:val="single"/>
                      </w:rPr>
                      <w:t>The safer synthesis of phenyl alkenyl sulfones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Phenyl vinyl sulfone and related compounds are simple Michael acceptors, useful as building blocks in synthesis through conjugate addition, the Bayliss-Hillman reaction or the Julia olefination. However, established methods for the preparation of phenyl vinyl sulfone involve the use of sulfur mustards, which are highly toxic and corrosive. We have therefore developed two alternative approaches to phenyl alkenyl sulfones from cheap raw materials that are much safer. The first involves addition of thiophenol to vinyl acetate or isopropenyl acetate, followed by oxidation of the resultant sulfide to the sulfone. This 2-acetoxyethyl sulfone can then undergo elimination to give the vinyl sulfone. All steps work cleanly and in high yield except the final step, which is complicated by the unwanted formation of conjugate addition products. We are therefore trying to optimize this elimination step to avoid the by-products. We have also prepared phenyl alkenyl sulfones such as PhSO</w:t>
                  </w:r>
                  <w:r w:rsidRPr="0005639F">
                    <w:rPr>
                      <w:rFonts w:ascii="Times New Roman" w:eastAsia="Times New Roman" w:hAnsi="Times New Roman" w:cs="Times New Roman"/>
                      <w:sz w:val="20"/>
                      <w:szCs w:val="20"/>
                      <w:vertAlign w:val="subscript"/>
                    </w:rPr>
                    <w:t>2</w:t>
                  </w:r>
                  <w:r w:rsidRPr="0005639F">
                    <w:rPr>
                      <w:rFonts w:ascii="Times New Roman" w:eastAsia="Times New Roman" w:hAnsi="Times New Roman" w:cs="Times New Roman"/>
                      <w:sz w:val="20"/>
                      <w:szCs w:val="20"/>
                    </w:rPr>
                    <w:t>CH=CHBu more directly by addition of thiophenol to an alkyne, followed by oxidation to the sulfone.</w:t>
                  </w:r>
                  <w:r w:rsidRPr="0005639F">
                    <w:rPr>
                      <w:rFonts w:ascii="Times New Roman" w:eastAsia="Times New Roman" w:hAnsi="Times New Roman" w:cs="Times New Roman"/>
                      <w:sz w:val="20"/>
                      <w:szCs w:val="20"/>
                    </w:rPr>
                    <w:br/>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r w:rsidRPr="0005639F">
                    <w:rPr>
                      <w:rFonts w:ascii="Times New Roman" w:eastAsia="Times New Roman" w:hAnsi="Times New Roman" w:cs="Times New Roman"/>
                      <w:sz w:val="20"/>
                      <w:szCs w:val="20"/>
                    </w:rPr>
                    <w:t>Presenters are undergraduate students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59"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2288153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Physical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Xueying Li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Ryan Dwyer</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John A. Marohn</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and Chemical Biology, Cornell University,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89" w:anchor="2288153" w:history="1">
                    <w:r w:rsidRPr="0005639F">
                      <w:rPr>
                        <w:rFonts w:ascii="Times New Roman" w:eastAsia="Times New Roman" w:hAnsi="Times New Roman" w:cs="Times New Roman"/>
                        <w:b/>
                        <w:bCs/>
                        <w:color w:val="0000FF"/>
                        <w:sz w:val="20"/>
                        <w:szCs w:val="20"/>
                        <w:u w:val="single"/>
                      </w:rPr>
                      <w:t>Effect of PEDOT:ClO</w:t>
                    </w:r>
                    <w:r w:rsidRPr="0005639F">
                      <w:rPr>
                        <w:rFonts w:ascii="Times New Roman" w:eastAsia="Times New Roman" w:hAnsi="Times New Roman" w:cs="Times New Roman"/>
                        <w:b/>
                        <w:bCs/>
                        <w:color w:val="0000FF"/>
                        <w:sz w:val="20"/>
                        <w:szCs w:val="20"/>
                        <w:u w:val="single"/>
                        <w:vertAlign w:val="subscript"/>
                      </w:rPr>
                      <w:t>4</w:t>
                    </w:r>
                    <w:r w:rsidRPr="0005639F">
                      <w:rPr>
                        <w:rFonts w:ascii="Times New Roman" w:eastAsia="Times New Roman" w:hAnsi="Times New Roman" w:cs="Times New Roman"/>
                        <w:b/>
                        <w:bCs/>
                        <w:color w:val="0000FF"/>
                        <w:sz w:val="20"/>
                        <w:szCs w:val="20"/>
                        <w:u w:val="single"/>
                      </w:rPr>
                      <w:t xml:space="preserve"> with tunable work functions on Performance of Bulk Heterojunction Solar Cells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Organic solar cells have demonstrated efficiencies approaching 10% and offer the advantages of chemical tunability, flexibility and low-cost processing. However, the factors that limit the performance of organic solar cells are not yet well understood.</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Kelvin probe force microscopy (KPFM) and electric force microscopy (EFM) measurements have shown striking differences in surface potential above organic bulk heterojunction solar cell films depending on the background charge carrier density before the solar cell has been exposed to light. This background carrier density is determined by the work function of the underlying electrode.</w:t>
                  </w:r>
                  <w:r w:rsidRPr="0005639F">
                    <w:rPr>
                      <w:rFonts w:ascii="Times New Roman" w:eastAsia="Times New Roman" w:hAnsi="Times New Roman" w:cs="Times New Roman"/>
                      <w:sz w:val="20"/>
                      <w:szCs w:val="20"/>
                    </w:rPr>
                    <w:br/>
                  </w:r>
                  <w:r w:rsidRPr="0005639F">
                    <w:rPr>
                      <w:rFonts w:ascii="Times New Roman" w:eastAsia="Times New Roman" w:hAnsi="Times New Roman" w:cs="Times New Roman"/>
                      <w:sz w:val="20"/>
                      <w:szCs w:val="20"/>
                    </w:rPr>
                    <w:br/>
                    <w:t>In this study, PEDOT:ClO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was electrochemically grown on field-effect transistors and doped to various levels. The effect of work function on the surface potential of PEDOT:ClO</w:t>
                  </w:r>
                  <w:r w:rsidRPr="0005639F">
                    <w:rPr>
                      <w:rFonts w:ascii="Times New Roman" w:eastAsia="Times New Roman" w:hAnsi="Times New Roman" w:cs="Times New Roman"/>
                      <w:sz w:val="20"/>
                      <w:szCs w:val="20"/>
                      <w:vertAlign w:val="subscript"/>
                    </w:rPr>
                    <w:t>4</w:t>
                  </w:r>
                  <w:r w:rsidRPr="0005639F">
                    <w:rPr>
                      <w:rFonts w:ascii="Times New Roman" w:eastAsia="Times New Roman" w:hAnsi="Times New Roman" w:cs="Times New Roman"/>
                      <w:sz w:val="20"/>
                      <w:szCs w:val="20"/>
                    </w:rPr>
                    <w:t xml:space="preserve"> was examined by KPFM.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60"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2290019</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Physical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rPr>
                    <w:t>Markus M. Hoffmann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Morgan E. Wilson</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xml:space="preserve">, </w:t>
                  </w:r>
                  <w:r w:rsidRPr="0005639F">
                    <w:rPr>
                      <w:rFonts w:ascii="Times New Roman" w:eastAsia="Times New Roman" w:hAnsi="Times New Roman" w:cs="Times New Roman"/>
                      <w:sz w:val="20"/>
                      <w:szCs w:val="20"/>
                      <w:u w:val="single"/>
                    </w:rPr>
                    <w:t>Leeza M. Kerr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Department of Chemistry &amp; Biochemistry, The College at Brockport, State University of New York, Brockport,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90" w:anchor="2290019" w:history="1">
                    <w:r w:rsidRPr="0005639F">
                      <w:rPr>
                        <w:rFonts w:ascii="Times New Roman" w:eastAsia="Times New Roman" w:hAnsi="Times New Roman" w:cs="Times New Roman"/>
                        <w:b/>
                        <w:bCs/>
                        <w:color w:val="0000FF"/>
                        <w:sz w:val="20"/>
                        <w:szCs w:val="20"/>
                        <w:u w:val="single"/>
                      </w:rPr>
                      <w:t xml:space="preserve">Alkali Halide Salts Dissolved in Non-ionic Surfactants studied by </w:t>
                    </w:r>
                    <w:r w:rsidRPr="0005639F">
                      <w:rPr>
                        <w:rFonts w:ascii="Times New Roman" w:eastAsia="Times New Roman" w:hAnsi="Times New Roman" w:cs="Times New Roman"/>
                        <w:b/>
                        <w:bCs/>
                        <w:color w:val="0000FF"/>
                        <w:sz w:val="20"/>
                        <w:szCs w:val="20"/>
                        <w:u w:val="single"/>
                        <w:vertAlign w:val="superscript"/>
                      </w:rPr>
                      <w:t>23</w:t>
                    </w:r>
                    <w:r w:rsidRPr="0005639F">
                      <w:rPr>
                        <w:rFonts w:ascii="Times New Roman" w:eastAsia="Times New Roman" w:hAnsi="Times New Roman" w:cs="Times New Roman"/>
                        <w:b/>
                        <w:bCs/>
                        <w:color w:val="0000FF"/>
                        <w:sz w:val="20"/>
                        <w:szCs w:val="20"/>
                        <w:u w:val="single"/>
                      </w:rPr>
                      <w:t xml:space="preserve">Na, </w:t>
                    </w:r>
                    <w:r w:rsidRPr="0005639F">
                      <w:rPr>
                        <w:rFonts w:ascii="Times New Roman" w:eastAsia="Times New Roman" w:hAnsi="Times New Roman" w:cs="Times New Roman"/>
                        <w:b/>
                        <w:bCs/>
                        <w:color w:val="0000FF"/>
                        <w:sz w:val="20"/>
                        <w:szCs w:val="20"/>
                        <w:u w:val="single"/>
                        <w:vertAlign w:val="superscript"/>
                      </w:rPr>
                      <w:t>81</w:t>
                    </w:r>
                    <w:r w:rsidRPr="0005639F">
                      <w:rPr>
                        <w:rFonts w:ascii="Times New Roman" w:eastAsia="Times New Roman" w:hAnsi="Times New Roman" w:cs="Times New Roman"/>
                        <w:b/>
                        <w:bCs/>
                        <w:color w:val="0000FF"/>
                        <w:sz w:val="20"/>
                        <w:szCs w:val="20"/>
                        <w:u w:val="single"/>
                      </w:rPr>
                      <w:t xml:space="preserve">Br, and </w:t>
                    </w:r>
                    <w:r w:rsidRPr="0005639F">
                      <w:rPr>
                        <w:rFonts w:ascii="Times New Roman" w:eastAsia="Times New Roman" w:hAnsi="Times New Roman" w:cs="Times New Roman"/>
                        <w:b/>
                        <w:bCs/>
                        <w:color w:val="0000FF"/>
                        <w:sz w:val="20"/>
                        <w:szCs w:val="20"/>
                        <w:u w:val="single"/>
                        <w:vertAlign w:val="superscript"/>
                      </w:rPr>
                      <w:t>87</w:t>
                    </w:r>
                    <w:r w:rsidRPr="0005639F">
                      <w:rPr>
                        <w:rFonts w:ascii="Times New Roman" w:eastAsia="Times New Roman" w:hAnsi="Times New Roman" w:cs="Times New Roman"/>
                        <w:b/>
                        <w:bCs/>
                        <w:color w:val="0000FF"/>
                        <w:sz w:val="20"/>
                        <w:szCs w:val="20"/>
                        <w:u w:val="single"/>
                      </w:rPr>
                      <w:t>Rb Nuclear Magnetic Resonance Spectroscopy</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Polyethylene glycol (PEG) has been recognized as a green solvent medium for chemical synthesis and processing. In contrast to traditional organic solvents, mineral salts can be dissolved in PEG. However not much is established about how the salts that are dissolved interact with PEG. The Nuclear Magnetic Resonance (NMR) spin-lattice relaxation time (T</w:t>
                  </w:r>
                  <w:r w:rsidRPr="0005639F">
                    <w:rPr>
                      <w:rFonts w:ascii="Times New Roman" w:eastAsia="Times New Roman" w:hAnsi="Times New Roman" w:cs="Times New Roman"/>
                      <w:sz w:val="20"/>
                      <w:szCs w:val="20"/>
                      <w:vertAlign w:val="subscript"/>
                    </w:rPr>
                    <w:t>1</w:t>
                  </w:r>
                  <w:r w:rsidRPr="0005639F">
                    <w:rPr>
                      <w:rFonts w:ascii="Times New Roman" w:eastAsia="Times New Roman" w:hAnsi="Times New Roman" w:cs="Times New Roman"/>
                      <w:sz w:val="20"/>
                      <w:szCs w:val="20"/>
                    </w:rPr>
                    <w:t xml:space="preserve">) and thus the linewidth of quadrupolar nuclei are sensitive to the presence of electric field gradients, which is expected to be present when ion pairs are formed. NMR spectral data will be presented for </w:t>
                  </w:r>
                  <w:r w:rsidRPr="0005639F">
                    <w:rPr>
                      <w:rFonts w:ascii="Times New Roman" w:eastAsia="Times New Roman" w:hAnsi="Times New Roman" w:cs="Times New Roman"/>
                      <w:sz w:val="20"/>
                      <w:szCs w:val="20"/>
                    </w:rPr>
                    <w:lastRenderedPageBreak/>
                    <w:t xml:space="preserve">0.075 molal salt solutions with varying compositions of PEG and water expressed in % volume. The spectral linewidth of the </w:t>
                  </w:r>
                  <w:r w:rsidRPr="0005639F">
                    <w:rPr>
                      <w:rFonts w:ascii="Times New Roman" w:eastAsia="Times New Roman" w:hAnsi="Times New Roman" w:cs="Times New Roman"/>
                      <w:sz w:val="20"/>
                      <w:szCs w:val="20"/>
                      <w:vertAlign w:val="superscript"/>
                    </w:rPr>
                    <w:t>23</w:t>
                  </w:r>
                  <w:r w:rsidRPr="0005639F">
                    <w:rPr>
                      <w:rFonts w:ascii="Times New Roman" w:eastAsia="Times New Roman" w:hAnsi="Times New Roman" w:cs="Times New Roman"/>
                      <w:sz w:val="20"/>
                      <w:szCs w:val="20"/>
                    </w:rPr>
                    <w:t xml:space="preserve">Na signal first gradually increased from 0.1 ppm in aqueous solution to 0.5 ppm at 50 % volume PEG, and then dramatically increased well above 10ppm in neat PEG. The linewidth of </w:t>
                  </w:r>
                  <w:r w:rsidRPr="0005639F">
                    <w:rPr>
                      <w:rFonts w:ascii="Times New Roman" w:eastAsia="Times New Roman" w:hAnsi="Times New Roman" w:cs="Times New Roman"/>
                      <w:sz w:val="20"/>
                      <w:szCs w:val="20"/>
                      <w:vertAlign w:val="superscript"/>
                    </w:rPr>
                    <w:t>81</w:t>
                  </w:r>
                  <w:r w:rsidRPr="0005639F">
                    <w:rPr>
                      <w:rFonts w:ascii="Times New Roman" w:eastAsia="Times New Roman" w:hAnsi="Times New Roman" w:cs="Times New Roman"/>
                      <w:sz w:val="20"/>
                      <w:szCs w:val="20"/>
                    </w:rPr>
                    <w:t xml:space="preserve">Br became too large to acquire with solution NMR spectroscopy if the PEG concentration was greater than 50 % volume. Additional results will be presented for </w:t>
                  </w:r>
                  <w:r w:rsidRPr="0005639F">
                    <w:rPr>
                      <w:rFonts w:ascii="Times New Roman" w:eastAsia="Times New Roman" w:hAnsi="Times New Roman" w:cs="Times New Roman"/>
                      <w:sz w:val="20"/>
                      <w:szCs w:val="20"/>
                      <w:vertAlign w:val="superscript"/>
                    </w:rPr>
                    <w:t>87</w:t>
                  </w:r>
                  <w:r w:rsidRPr="0005639F">
                    <w:rPr>
                      <w:rFonts w:ascii="Times New Roman" w:eastAsia="Times New Roman" w:hAnsi="Times New Roman" w:cs="Times New Roman"/>
                      <w:sz w:val="20"/>
                      <w:szCs w:val="20"/>
                    </w:rPr>
                    <w:t>Rb NMR as well as other nonionic surfactants related to PEG for comparison.</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61"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2292083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Physical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Matthew Ellis</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Karen Downey</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Cortland, Cortland,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91" w:anchor="2292083" w:history="1">
                    <w:r w:rsidRPr="0005639F">
                      <w:rPr>
                        <w:rFonts w:ascii="Times New Roman" w:eastAsia="Times New Roman" w:hAnsi="Times New Roman" w:cs="Times New Roman"/>
                        <w:color w:val="0000FF"/>
                        <w:sz w:val="20"/>
                        <w:szCs w:val="20"/>
                        <w:u w:val="single"/>
                      </w:rPr>
                      <w:t>Density functional theory modeling for design of group 10-based metallo-organic catalysts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Metallo-organic complexes are catalytically interesting but difficult to make. Their syntheses often involve materials and produce wastes that are particularly toxic. Accurate simulations could greatly reduce time and materials wasted, production of hazardous wastes, and exposure to toxic compounds. To accomplish this, a reliable method of predicting complex geometry, electron distribution, and molecular orbital energies must be established. Current computational methods have limited success in calculating the probable characteristics of many real solvated complexes. A systematic investigation of the catalytically active group 10 metals uses Density Functional Theory (DFT) calculations to model square planar metallo-organic complexes. The chosen complexes incorporate one diphosphenito (POCOP) ligand and one of seven monodentate ligands of varying electron donating ability. All combinations of these complexes are modeled in vacuo using DFT. Complexes of the smaller metal (Ni) are modeled using the B3LYP/6-31G* method, while complexes of the larger metals (Pd, Pt) are modeled using the M06/6-31G* method. These models provide a starting point to determine appropriate solvation models and decrease the computational cost of modelling each complex in different solvents. The most common solvation model, SM8, does not allow for successful solution of Pd and Pt complex’s ground state configurations. To address this failure, computational parameters (including computation package and solvation models) are investigated to develop methodologies that would allow for the comparison of anticipated properties of 1</w:t>
                  </w:r>
                  <w:r w:rsidRPr="0005639F">
                    <w:rPr>
                      <w:rFonts w:ascii="Times New Roman" w:eastAsia="Times New Roman" w:hAnsi="Times New Roman" w:cs="Times New Roman"/>
                      <w:sz w:val="20"/>
                      <w:szCs w:val="20"/>
                      <w:vertAlign w:val="superscript"/>
                    </w:rPr>
                    <w:t>st</w:t>
                  </w:r>
                  <w:r w:rsidRPr="0005639F">
                    <w:rPr>
                      <w:rFonts w:ascii="Times New Roman" w:eastAsia="Times New Roman" w:hAnsi="Times New Roman" w:cs="Times New Roman"/>
                      <w:sz w:val="20"/>
                      <w:szCs w:val="20"/>
                    </w:rPr>
                    <w:t>, 2</w:t>
                  </w:r>
                  <w:r w:rsidRPr="0005639F">
                    <w:rPr>
                      <w:rFonts w:ascii="Times New Roman" w:eastAsia="Times New Roman" w:hAnsi="Times New Roman" w:cs="Times New Roman"/>
                      <w:sz w:val="20"/>
                      <w:szCs w:val="20"/>
                      <w:vertAlign w:val="superscript"/>
                    </w:rPr>
                    <w:t>nd</w:t>
                  </w:r>
                  <w:r w:rsidRPr="0005639F">
                    <w:rPr>
                      <w:rFonts w:ascii="Times New Roman" w:eastAsia="Times New Roman" w:hAnsi="Times New Roman" w:cs="Times New Roman"/>
                      <w:sz w:val="20"/>
                      <w:szCs w:val="20"/>
                    </w:rPr>
                    <w:t>, and 3</w:t>
                  </w:r>
                  <w:r w:rsidRPr="0005639F">
                    <w:rPr>
                      <w:rFonts w:ascii="Times New Roman" w:eastAsia="Times New Roman" w:hAnsi="Times New Roman" w:cs="Times New Roman"/>
                      <w:sz w:val="20"/>
                      <w:szCs w:val="20"/>
                      <w:vertAlign w:val="superscript"/>
                    </w:rPr>
                    <w:t>rd</w:t>
                  </w:r>
                  <w:r w:rsidRPr="0005639F">
                    <w:rPr>
                      <w:rFonts w:ascii="Times New Roman" w:eastAsia="Times New Roman" w:hAnsi="Times New Roman" w:cs="Times New Roman"/>
                      <w:sz w:val="20"/>
                      <w:szCs w:val="20"/>
                    </w:rPr>
                    <w:t xml:space="preserve"> row transition metals. Comparisons are made between the SM8, MMFFaq, and SM5 solvation models. Computational packages compared include Spartan 10 and GAMESS.</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Preferred</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62"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2292476</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Physical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Omar Chaarawi</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Adam H. Steeves</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Ithaca College, Ithaca,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92" w:anchor="2292476" w:history="1">
                    <w:r w:rsidRPr="0005639F">
                      <w:rPr>
                        <w:rFonts w:ascii="Times New Roman" w:eastAsia="Times New Roman" w:hAnsi="Times New Roman" w:cs="Times New Roman"/>
                        <w:color w:val="0000FF"/>
                        <w:sz w:val="20"/>
                        <w:szCs w:val="20"/>
                        <w:u w:val="single"/>
                      </w:rPr>
                      <w:t xml:space="preserve">Conformer generation strategies for functional supramolecular systems: Redox-switchable </w:t>
                    </w:r>
                    <w:r w:rsidRPr="0005639F">
                      <w:rPr>
                        <w:rFonts w:ascii="Times New Roman" w:eastAsia="Times New Roman" w:hAnsi="Times New Roman" w:cs="Times New Roman"/>
                        <w:color w:val="0000FF"/>
                        <w:sz w:val="20"/>
                        <w:szCs w:val="20"/>
                        <w:u w:val="single"/>
                      </w:rPr>
                      <w:lastRenderedPageBreak/>
                      <w:t>resorcin[4]arene cavitands</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Functional supramolecular systems use not only covalent bonding but also weaker inter- or intramolecular interactions to achieve a task or function, often by cylcing through multiple conformational states. We have studied a resorcin[4]arene cavitand that when reduced adopts a vase like geometry stabilized through hydrogen bonding and when oxidized adopts a kite-like open geometry. We have explored conformer generation strategies for this molecule so as to capture the conformational heterogeneity of the reduced and oxidized states. A distance-matrix algorithm, implemented in RDKit, has been utilized to generate multiple conformations of each functional state. The conformations are restrained to match some 3D coordinates of a known low-energy geometry and a molecular mechanics force field is applied to minimize the energy of each generated conformation. By comparing the geometries of lowest energy conformers generated using RDKit to the geometry of the crystal structure of the molecule, we assess the capacity of this strategy to generate realistic geometries for these large systems. In addition, the distribution of conformer energies sheds light on the energy landscape underlying functional switching in this system.</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63" style="width:0;height:1.5pt" o:hralign="center" o:hrstd="t" o:hr="t" fillcolor="#a0a0a0" stroked="f"/>
              </w:pict>
            </w:r>
          </w:p>
        </w:tc>
      </w:tr>
      <w:tr w:rsidR="0005639F" w:rsidRPr="0005639F" w:rsidTr="000563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lastRenderedPageBreak/>
                    <w:t xml:space="preserve">SUBMISSION ROLE: </w:t>
                  </w:r>
                  <w:r w:rsidRPr="0005639F">
                    <w:rPr>
                      <w:rFonts w:ascii="Times New Roman" w:eastAsia="Times New Roman" w:hAnsi="Times New Roman" w:cs="Times New Roman"/>
                      <w:sz w:val="20"/>
                      <w:szCs w:val="20"/>
                    </w:rPr>
                    <w:t>2015 Northeast Regional Meeting</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CONTROL ID: </w:t>
                  </w:r>
                  <w:r w:rsidRPr="0005639F">
                    <w:rPr>
                      <w:rFonts w:ascii="Times New Roman" w:eastAsia="Times New Roman" w:hAnsi="Times New Roman" w:cs="Times New Roman"/>
                      <w:sz w:val="20"/>
                      <w:szCs w:val="20"/>
                    </w:rPr>
                    <w:t>2292493</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SYMPOSIUM NAME: </w:t>
                  </w:r>
                  <w:r w:rsidRPr="0005639F">
                    <w:rPr>
                      <w:rFonts w:ascii="Times New Roman" w:eastAsia="Times New Roman" w:hAnsi="Times New Roman" w:cs="Times New Roman"/>
                      <w:sz w:val="20"/>
                      <w:szCs w:val="20"/>
                    </w:rPr>
                    <w:t xml:space="preserve">Undergraduate Physical Chemistry - Poster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AUTHORS (FIRST NAME, LAST NAME): </w:t>
                  </w:r>
                  <w:r w:rsidRPr="0005639F">
                    <w:rPr>
                      <w:rFonts w:ascii="Times New Roman" w:eastAsia="Times New Roman" w:hAnsi="Times New Roman" w:cs="Times New Roman"/>
                      <w:sz w:val="20"/>
                      <w:szCs w:val="20"/>
                      <w:u w:val="single"/>
                    </w:rPr>
                    <w:t>Dominic Caracciolo</w:t>
                  </w:r>
                  <w:r w:rsidRPr="0005639F">
                    <w:rPr>
                      <w:rFonts w:ascii="Times New Roman" w:eastAsia="Times New Roman" w:hAnsi="Times New Roman" w:cs="Times New Roman"/>
                      <w:sz w:val="20"/>
                      <w:szCs w:val="20"/>
                      <w:vertAlign w:val="superscript"/>
                    </w:rPr>
                    <w:t>1</w:t>
                  </w:r>
                  <w:r w:rsidRPr="0005639F">
                    <w:rPr>
                      <w:rFonts w:ascii="Times New Roman" w:eastAsia="Times New Roman" w:hAnsi="Times New Roman" w:cs="Times New Roman"/>
                      <w:sz w:val="20"/>
                      <w:szCs w:val="20"/>
                    </w:rPr>
                    <w:t>, Ewa Pater</w:t>
                  </w:r>
                  <w:r w:rsidRPr="0005639F">
                    <w:rPr>
                      <w:rFonts w:ascii="Times New Roman" w:eastAsia="Times New Roman" w:hAnsi="Times New Roman" w:cs="Times New Roman"/>
                      <w:sz w:val="20"/>
                      <w:szCs w:val="20"/>
                      <w:vertAlign w:val="superscript"/>
                    </w:rPr>
                    <w:t>1</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INSTITUTIONS (ALL): </w:t>
                  </w:r>
                  <w:r w:rsidRPr="0005639F">
                    <w:rPr>
                      <w:rFonts w:ascii="Times New Roman" w:eastAsia="Times New Roman" w:hAnsi="Times New Roman" w:cs="Times New Roman"/>
                      <w:sz w:val="20"/>
                      <w:szCs w:val="20"/>
                    </w:rPr>
                    <w:t xml:space="preserve">1. Chemistry, SUNY Plattsburgh, Ballston Spa, NY, United States.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TITLE: </w:t>
                  </w:r>
                  <w:hyperlink r:id="rId393" w:anchor="2292493" w:history="1">
                    <w:r w:rsidRPr="0005639F">
                      <w:rPr>
                        <w:rFonts w:ascii="Times New Roman" w:eastAsia="Times New Roman" w:hAnsi="Times New Roman" w:cs="Times New Roman"/>
                        <w:color w:val="0000FF"/>
                        <w:sz w:val="20"/>
                        <w:szCs w:val="20"/>
                        <w:u w:val="single"/>
                      </w:rPr>
                      <w:t>Effect of Tetrabutylammonium Cation on Redox Behavior of Gold in Alkali Medium</w:t>
                    </w:r>
                  </w:hyperlink>
                </w:p>
              </w:tc>
            </w:tr>
            <w:tr w:rsidR="0005639F" w:rsidRPr="0005639F">
              <w:trPr>
                <w:tblCellSpacing w:w="15" w:type="dxa"/>
              </w:trPr>
              <w:tc>
                <w:tcPr>
                  <w:tcW w:w="0" w:type="auto"/>
                  <w:vAlign w:val="center"/>
                  <w:hideMark/>
                </w:tcPr>
                <w:p w:rsidR="0005639F" w:rsidRPr="0005639F" w:rsidRDefault="0005639F" w:rsidP="0005639F">
                  <w:pPr>
                    <w:spacing w:after="24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ABSTRACT BODY: </w:t>
                  </w:r>
                  <w:r w:rsidRPr="0005639F">
                    <w:rPr>
                      <w:rFonts w:ascii="Times New Roman" w:eastAsia="Times New Roman" w:hAnsi="Times New Roman" w:cs="Times New Roman"/>
                      <w:b/>
                      <w:bCs/>
                      <w:sz w:val="20"/>
                      <w:szCs w:val="20"/>
                    </w:rPr>
                    <w:br/>
                    <w:t xml:space="preserve">Abstract: </w:t>
                  </w:r>
                  <w:r w:rsidRPr="0005639F">
                    <w:rPr>
                      <w:rFonts w:ascii="Times New Roman" w:eastAsia="Times New Roman" w:hAnsi="Times New Roman" w:cs="Times New Roman"/>
                      <w:sz w:val="20"/>
                      <w:szCs w:val="20"/>
                    </w:rPr>
                    <w:t>The purpose of our study is to gain more insight into electrochemical behavior of gold (Au) working electrode in alkali media. In particular, we focused on the effect of the cation size on the redox process of Au. We chose 0.2M KOH and 0.2M tetrabutylammonium hydroxide ((Bu)4NOH) as supporting electrolytes. We used electrochemical quartz crystal microbalance (EQCM) to determine mass changes of Au as potential applied to working electrode varied from 0.65V to -1.4V in KOH and from 0.65V to -0.7V in (Bu)4NOH. The observed mass changes corresponding to oxidation (reduction) process were 176ng (-141ng) and 368ng (-417ng) in KOH and (Bu)4NOH, respectively. The current-voltage (CV) and mass-voltage curves of Au working electrode in 0.2M H2SO4 served as a control and showed difference in Au redox behavior before and after the experiments in KOH and/or (Bu)4NOH. The results of our EQCM experiments suggest that the type (size) of a cation influences the Au redox process in alkali media.</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Comments to Organizers: </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PRESENTATION TYPE: </w:t>
                  </w:r>
                  <w:r w:rsidRPr="0005639F">
                    <w:rPr>
                      <w:rFonts w:ascii="Times New Roman" w:eastAsia="Times New Roman" w:hAnsi="Times New Roman" w:cs="Times New Roman"/>
                      <w:sz w:val="20"/>
                      <w:szCs w:val="20"/>
                    </w:rPr>
                    <w:t>Poster Only</w:t>
                  </w:r>
                </w:p>
              </w:tc>
            </w:tr>
            <w:tr w:rsidR="0005639F" w:rsidRPr="0005639F">
              <w:trPr>
                <w:tblCellSpacing w:w="15" w:type="dxa"/>
              </w:trPr>
              <w:tc>
                <w:tcPr>
                  <w:tcW w:w="0" w:type="auto"/>
                  <w:vAlign w:val="center"/>
                  <w:hideMark/>
                </w:tcPr>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b/>
                      <w:bCs/>
                      <w:sz w:val="20"/>
                      <w:szCs w:val="20"/>
                    </w:rPr>
                    <w:t xml:space="preserve">DECISION STATUS: </w:t>
                  </w:r>
                </w:p>
              </w:tc>
            </w:tr>
          </w:tbl>
          <w:p w:rsidR="0005639F" w:rsidRPr="0005639F" w:rsidRDefault="0005639F" w:rsidP="0005639F">
            <w:pPr>
              <w:spacing w:after="240" w:line="240" w:lineRule="auto"/>
              <w:rPr>
                <w:rFonts w:ascii="Times New Roman" w:eastAsia="Times New Roman" w:hAnsi="Times New Roman" w:cs="Times New Roman"/>
                <w:sz w:val="24"/>
                <w:szCs w:val="24"/>
              </w:rPr>
            </w:pPr>
          </w:p>
          <w:p w:rsidR="0005639F" w:rsidRPr="0005639F" w:rsidRDefault="0005639F" w:rsidP="0005639F">
            <w:pPr>
              <w:spacing w:after="0" w:line="240" w:lineRule="auto"/>
              <w:rPr>
                <w:rFonts w:ascii="Times New Roman" w:eastAsia="Times New Roman" w:hAnsi="Times New Roman" w:cs="Times New Roman"/>
                <w:sz w:val="24"/>
                <w:szCs w:val="24"/>
              </w:rPr>
            </w:pPr>
            <w:r w:rsidRPr="0005639F">
              <w:rPr>
                <w:rFonts w:ascii="Times New Roman" w:eastAsia="Times New Roman" w:hAnsi="Times New Roman" w:cs="Times New Roman"/>
                <w:sz w:val="24"/>
                <w:szCs w:val="24"/>
              </w:rPr>
              <w:pict>
                <v:rect id="_x0000_i3764" style="width:0;height:1.5pt" o:hralign="center" o:hrstd="t" o:hr="t" fillcolor="#a0a0a0" stroked="f"/>
              </w:pict>
            </w:r>
          </w:p>
        </w:tc>
      </w:tr>
    </w:tbl>
    <w:p w:rsidR="00A8229A" w:rsidRPr="0005639F" w:rsidRDefault="00A8229A" w:rsidP="0005639F"/>
    <w:sectPr w:rsidR="00A8229A" w:rsidRPr="000563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39F"/>
    <w:rsid w:val="0005639F"/>
    <w:rsid w:val="00A82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05639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05639F"/>
    <w:rPr>
      <w:rFonts w:ascii="Arial" w:eastAsia="Times New Roman" w:hAnsi="Arial" w:cs="Arial"/>
      <w:vanish/>
      <w:sz w:val="16"/>
      <w:szCs w:val="16"/>
    </w:rPr>
  </w:style>
  <w:style w:type="character" w:styleId="Hyperlink">
    <w:name w:val="Hyperlink"/>
    <w:basedOn w:val="DefaultParagraphFont"/>
    <w:uiPriority w:val="99"/>
    <w:semiHidden/>
    <w:unhideWhenUsed/>
    <w:rsid w:val="0005639F"/>
    <w:rPr>
      <w:color w:val="0000FF"/>
      <w:u w:val="single"/>
    </w:rPr>
  </w:style>
  <w:style w:type="character" w:styleId="FollowedHyperlink">
    <w:name w:val="FollowedHyperlink"/>
    <w:basedOn w:val="DefaultParagraphFont"/>
    <w:uiPriority w:val="99"/>
    <w:semiHidden/>
    <w:unhideWhenUsed/>
    <w:rsid w:val="0005639F"/>
    <w:rPr>
      <w:color w:val="800080"/>
      <w:u w:val="single"/>
    </w:rPr>
  </w:style>
  <w:style w:type="paragraph" w:styleId="z-BottomofForm">
    <w:name w:val="HTML Bottom of Form"/>
    <w:basedOn w:val="Normal"/>
    <w:next w:val="Normal"/>
    <w:link w:val="z-BottomofFormChar"/>
    <w:hidden/>
    <w:uiPriority w:val="99"/>
    <w:semiHidden/>
    <w:unhideWhenUsed/>
    <w:rsid w:val="0005639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05639F"/>
    <w:rPr>
      <w:rFonts w:ascii="Arial" w:eastAsia="Times New Roman" w:hAnsi="Arial" w:cs="Arial"/>
      <w:vanish/>
      <w:sz w:val="16"/>
      <w:szCs w:val="16"/>
    </w:rPr>
  </w:style>
  <w:style w:type="paragraph" w:styleId="NormalWeb">
    <w:name w:val="Normal (Web)"/>
    <w:basedOn w:val="Normal"/>
    <w:uiPriority w:val="99"/>
    <w:semiHidden/>
    <w:unhideWhenUsed/>
    <w:rsid w:val="000563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header">
    <w:name w:val="pageheader"/>
    <w:basedOn w:val="DefaultParagraphFont"/>
    <w:rsid w:val="0005639F"/>
  </w:style>
  <w:style w:type="character" w:customStyle="1" w:styleId="pagecontents">
    <w:name w:val="pagecontents"/>
    <w:basedOn w:val="DefaultParagraphFont"/>
    <w:rsid w:val="0005639F"/>
  </w:style>
  <w:style w:type="paragraph" w:styleId="BalloonText">
    <w:name w:val="Balloon Text"/>
    <w:basedOn w:val="Normal"/>
    <w:link w:val="BalloonTextChar"/>
    <w:uiPriority w:val="99"/>
    <w:semiHidden/>
    <w:unhideWhenUsed/>
    <w:rsid w:val="000563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63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z-TopofForm">
    <w:name w:val="HTML Top of Form"/>
    <w:basedOn w:val="Normal"/>
    <w:next w:val="Normal"/>
    <w:link w:val="z-TopofFormChar"/>
    <w:hidden/>
    <w:uiPriority w:val="99"/>
    <w:semiHidden/>
    <w:unhideWhenUsed/>
    <w:rsid w:val="0005639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05639F"/>
    <w:rPr>
      <w:rFonts w:ascii="Arial" w:eastAsia="Times New Roman" w:hAnsi="Arial" w:cs="Arial"/>
      <w:vanish/>
      <w:sz w:val="16"/>
      <w:szCs w:val="16"/>
    </w:rPr>
  </w:style>
  <w:style w:type="character" w:styleId="Hyperlink">
    <w:name w:val="Hyperlink"/>
    <w:basedOn w:val="DefaultParagraphFont"/>
    <w:uiPriority w:val="99"/>
    <w:semiHidden/>
    <w:unhideWhenUsed/>
    <w:rsid w:val="0005639F"/>
    <w:rPr>
      <w:color w:val="0000FF"/>
      <w:u w:val="single"/>
    </w:rPr>
  </w:style>
  <w:style w:type="character" w:styleId="FollowedHyperlink">
    <w:name w:val="FollowedHyperlink"/>
    <w:basedOn w:val="DefaultParagraphFont"/>
    <w:uiPriority w:val="99"/>
    <w:semiHidden/>
    <w:unhideWhenUsed/>
    <w:rsid w:val="0005639F"/>
    <w:rPr>
      <w:color w:val="800080"/>
      <w:u w:val="single"/>
    </w:rPr>
  </w:style>
  <w:style w:type="paragraph" w:styleId="z-BottomofForm">
    <w:name w:val="HTML Bottom of Form"/>
    <w:basedOn w:val="Normal"/>
    <w:next w:val="Normal"/>
    <w:link w:val="z-BottomofFormChar"/>
    <w:hidden/>
    <w:uiPriority w:val="99"/>
    <w:semiHidden/>
    <w:unhideWhenUsed/>
    <w:rsid w:val="0005639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05639F"/>
    <w:rPr>
      <w:rFonts w:ascii="Arial" w:eastAsia="Times New Roman" w:hAnsi="Arial" w:cs="Arial"/>
      <w:vanish/>
      <w:sz w:val="16"/>
      <w:szCs w:val="16"/>
    </w:rPr>
  </w:style>
  <w:style w:type="paragraph" w:styleId="NormalWeb">
    <w:name w:val="Normal (Web)"/>
    <w:basedOn w:val="Normal"/>
    <w:uiPriority w:val="99"/>
    <w:semiHidden/>
    <w:unhideWhenUsed/>
    <w:rsid w:val="000563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geheader">
    <w:name w:val="pageheader"/>
    <w:basedOn w:val="DefaultParagraphFont"/>
    <w:rsid w:val="0005639F"/>
  </w:style>
  <w:style w:type="character" w:customStyle="1" w:styleId="pagecontents">
    <w:name w:val="pagecontents"/>
    <w:basedOn w:val="DefaultParagraphFont"/>
    <w:rsid w:val="0005639F"/>
  </w:style>
  <w:style w:type="paragraph" w:styleId="BalloonText">
    <w:name w:val="Balloon Text"/>
    <w:basedOn w:val="Normal"/>
    <w:link w:val="BalloonTextChar"/>
    <w:uiPriority w:val="99"/>
    <w:semiHidden/>
    <w:unhideWhenUsed/>
    <w:rsid w:val="000563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63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4637327">
      <w:bodyDiv w:val="1"/>
      <w:marLeft w:val="0"/>
      <w:marRight w:val="0"/>
      <w:marTop w:val="0"/>
      <w:marBottom w:val="0"/>
      <w:divBdr>
        <w:top w:val="none" w:sz="0" w:space="0" w:color="auto"/>
        <w:left w:val="none" w:sz="0" w:space="0" w:color="auto"/>
        <w:bottom w:val="none" w:sz="0" w:space="0" w:color="auto"/>
        <w:right w:val="none" w:sz="0" w:space="0" w:color="auto"/>
      </w:divBdr>
    </w:div>
    <w:div w:id="1095783564">
      <w:bodyDiv w:val="1"/>
      <w:marLeft w:val="0"/>
      <w:marRight w:val="0"/>
      <w:marTop w:val="0"/>
      <w:marBottom w:val="0"/>
      <w:divBdr>
        <w:top w:val="none" w:sz="0" w:space="0" w:color="auto"/>
        <w:left w:val="none" w:sz="0" w:space="0" w:color="auto"/>
        <w:bottom w:val="none" w:sz="0" w:space="0" w:color="auto"/>
        <w:right w:val="none" w:sz="0" w:space="0" w:color="auto"/>
      </w:divBdr>
    </w:div>
    <w:div w:id="1404449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1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1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1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9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1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9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1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9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9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1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94" Type="http://schemas.openxmlformats.org/officeDocument/2006/relationships/fontTable" Target="fontTable.xml"/><Relationship Id="rId1" Type="http://schemas.openxmlformats.org/officeDocument/2006/relationships/styles" Target="styles.xml"/><Relationship Id="rId21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95" Type="http://schemas.openxmlformats.org/officeDocument/2006/relationships/theme" Target="theme/theme1.xml"/><Relationship Id="rId7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1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 Type="http://schemas.microsoft.com/office/2007/relationships/stylesWithEffects" Target="stylesWithEffects.xml"/><Relationship Id="rId2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8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 Type="http://schemas.openxmlformats.org/officeDocument/2006/relationships/settings" Target="settings.xml"/><Relationship Id="rId21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9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1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5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2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6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7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6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9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0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2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4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6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8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2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1"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5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7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9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4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69"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3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5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7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 Type="http://schemas.openxmlformats.org/officeDocument/2006/relationships/webSettings" Target="webSettings.xml"/><Relationship Id="rId180"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1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36"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5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27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03"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42"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84"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138"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45"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 Id="rId387" Type="http://schemas.openxmlformats.org/officeDocument/2006/relationships/hyperlink" Target="https://nerm2015.abstractcentral.com/admin?DOWNLOAD=TRUE&amp;PARAMS=xik_CnTmY7gh4KosBhL7VcBoxNe36nkoPsoRCRUPL8pbGPTp84vTvqCRsp1UBXQrme8zyCLXevhVKhguZEXyjjspZDug27ifUMgJex31XbstLVivuiQjZxcqPXTMSDbHNMwmU98yLDhtQsyFnv2Xww3h7EvU3NdEKXFDTnNyDfFRzJcUmx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224</Pages>
  <Words>123872</Words>
  <Characters>706074</Characters>
  <Application>Microsoft Office Word</Application>
  <DocSecurity>0</DocSecurity>
  <Lines>5883</Lines>
  <Paragraphs>1656</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828290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Farai Tsokodayi</dc:creator>
  <cp:lastModifiedBy>Farai Tsokodayi</cp:lastModifiedBy>
  <cp:revision>1</cp:revision>
  <dcterms:created xsi:type="dcterms:W3CDTF">2015-04-16T15:07:00Z</dcterms:created>
  <dcterms:modified xsi:type="dcterms:W3CDTF">2015-04-16T15:11:00Z</dcterms:modified>
</cp:coreProperties>
</file>