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6384"/>
      </w:tblGrid>
      <w:tr w:rsidR="00812BB8" w:rsidTr="005E58C3">
        <w:tc>
          <w:tcPr>
            <w:tcW w:w="3192" w:type="dxa"/>
          </w:tcPr>
          <w:p w:rsidR="00812BB8" w:rsidRPr="00E90385" w:rsidRDefault="00812BB8" w:rsidP="00812BB8">
            <w:pPr>
              <w:rPr>
                <w:b/>
              </w:rPr>
            </w:pPr>
            <w:bookmarkStart w:id="0" w:name="_GoBack"/>
            <w:r w:rsidRPr="00E90385">
              <w:rPr>
                <w:b/>
              </w:rPr>
              <w:t>Title:</w:t>
            </w:r>
          </w:p>
          <w:p w:rsidR="00812BB8" w:rsidRDefault="00812BB8" w:rsidP="00812BB8"/>
        </w:tc>
        <w:tc>
          <w:tcPr>
            <w:tcW w:w="6384" w:type="dxa"/>
          </w:tcPr>
          <w:p w:rsidR="00812BB8" w:rsidRPr="00BB52AD" w:rsidRDefault="00421FE6" w:rsidP="00FA3FCF">
            <w:pPr>
              <w:rPr>
                <w:i/>
                <w:highlight w:val="lightGray"/>
              </w:rPr>
            </w:pPr>
            <w:r>
              <w:rPr>
                <w:i/>
                <w:highlight w:val="lightGray"/>
              </w:rPr>
              <w:t>To flush or not to flush?  Chemistry makes it flushable</w:t>
            </w:r>
          </w:p>
        </w:tc>
      </w:tr>
      <w:bookmarkEnd w:id="0"/>
      <w:tr w:rsidR="00812BB8" w:rsidTr="005E58C3">
        <w:tc>
          <w:tcPr>
            <w:tcW w:w="3192" w:type="dxa"/>
          </w:tcPr>
          <w:p w:rsidR="00812BB8" w:rsidRPr="00E90385" w:rsidRDefault="00812BB8" w:rsidP="00812BB8">
            <w:pPr>
              <w:rPr>
                <w:b/>
              </w:rPr>
            </w:pPr>
            <w:r w:rsidRPr="00E90385">
              <w:rPr>
                <w:b/>
              </w:rPr>
              <w:t>Author:</w:t>
            </w:r>
          </w:p>
          <w:p w:rsidR="00812BB8" w:rsidRPr="00E90385" w:rsidRDefault="00812BB8" w:rsidP="00333D8E">
            <w:pPr>
              <w:jc w:val="center"/>
              <w:rPr>
                <w:b/>
              </w:rPr>
            </w:pPr>
          </w:p>
        </w:tc>
        <w:tc>
          <w:tcPr>
            <w:tcW w:w="6384" w:type="dxa"/>
          </w:tcPr>
          <w:p w:rsidR="00812BB8" w:rsidRPr="00BB52AD" w:rsidRDefault="00421FE6" w:rsidP="00FA3FCF">
            <w:pPr>
              <w:rPr>
                <w:i/>
              </w:rPr>
            </w:pPr>
            <w:r>
              <w:rPr>
                <w:i/>
              </w:rPr>
              <w:t>Janet A. Asper</w:t>
            </w:r>
          </w:p>
        </w:tc>
      </w:tr>
      <w:tr w:rsidR="00735DD2" w:rsidTr="005E58C3">
        <w:tc>
          <w:tcPr>
            <w:tcW w:w="3192" w:type="dxa"/>
          </w:tcPr>
          <w:p w:rsidR="00735DD2" w:rsidRPr="00E90385" w:rsidRDefault="00735DD2" w:rsidP="00812BB8">
            <w:pPr>
              <w:rPr>
                <w:b/>
              </w:rPr>
            </w:pPr>
            <w:r>
              <w:rPr>
                <w:b/>
              </w:rPr>
              <w:t>Byline:</w:t>
            </w:r>
          </w:p>
        </w:tc>
        <w:tc>
          <w:tcPr>
            <w:tcW w:w="6384" w:type="dxa"/>
          </w:tcPr>
          <w:p w:rsidR="00735DD2" w:rsidRDefault="00421FE6" w:rsidP="00FA3FCF">
            <w:pPr>
              <w:rPr>
                <w:i/>
                <w:highlight w:val="lightGray"/>
              </w:rPr>
            </w:pPr>
            <w:r>
              <w:rPr>
                <w:i/>
                <w:highlight w:val="lightGray"/>
              </w:rPr>
              <w:t>Associate Professor of Chemistry, University of Mary Washington</w:t>
            </w:r>
            <w:r w:rsidR="00735DD2">
              <w:rPr>
                <w:i/>
                <w:highlight w:val="lightGray"/>
              </w:rPr>
              <w:t>.</w:t>
            </w:r>
          </w:p>
          <w:p w:rsidR="00735DD2" w:rsidRPr="00BB52AD" w:rsidRDefault="00735DD2" w:rsidP="00FA3FCF">
            <w:pPr>
              <w:rPr>
                <w:i/>
                <w:highlight w:val="lightGray"/>
              </w:rPr>
            </w:pPr>
          </w:p>
        </w:tc>
      </w:tr>
      <w:tr w:rsidR="00812BB8" w:rsidTr="005E58C3">
        <w:tc>
          <w:tcPr>
            <w:tcW w:w="3192" w:type="dxa"/>
          </w:tcPr>
          <w:p w:rsidR="00812BB8" w:rsidRPr="00E90385" w:rsidRDefault="00812BB8" w:rsidP="00812BB8">
            <w:pPr>
              <w:rPr>
                <w:b/>
              </w:rPr>
            </w:pPr>
            <w:r w:rsidRPr="00E90385">
              <w:rPr>
                <w:b/>
              </w:rPr>
              <w:t xml:space="preserve">Age Appropriateness: </w:t>
            </w:r>
            <w:r w:rsidRPr="00E90385">
              <w:rPr>
                <w:b/>
              </w:rPr>
              <w:tab/>
            </w:r>
          </w:p>
          <w:p w:rsidR="00812BB8" w:rsidRPr="00E90385" w:rsidRDefault="00812BB8" w:rsidP="00333D8E">
            <w:pPr>
              <w:jc w:val="center"/>
              <w:rPr>
                <w:b/>
              </w:rPr>
            </w:pPr>
          </w:p>
        </w:tc>
        <w:tc>
          <w:tcPr>
            <w:tcW w:w="6384" w:type="dxa"/>
          </w:tcPr>
          <w:p w:rsidR="00812BB8" w:rsidRDefault="00AA24DC" w:rsidP="00812BB8">
            <w:sdt>
              <w:sdtPr>
                <w:id w:val="843062087"/>
                <w14:checkbox>
                  <w14:checked w14:val="1"/>
                  <w14:checkedState w14:val="2612" w14:font="MS Gothic"/>
                  <w14:uncheckedState w14:val="2610" w14:font="MS Gothic"/>
                </w14:checkbox>
              </w:sdtPr>
              <w:sdtEndPr/>
              <w:sdtContent>
                <w:r w:rsidR="00421FE6">
                  <w:rPr>
                    <w:rFonts w:ascii="MS Gothic" w:eastAsia="MS Gothic" w:hAnsi="MS Gothic" w:hint="eastAsia"/>
                  </w:rPr>
                  <w:t>☒</w:t>
                </w:r>
              </w:sdtContent>
            </w:sdt>
            <w:r w:rsidR="009763B5">
              <w:t xml:space="preserve"> </w:t>
            </w:r>
            <w:r w:rsidR="00812BB8">
              <w:t>4</w:t>
            </w:r>
            <w:r w:rsidR="00FD0A3E">
              <w:rPr>
                <w:vertAlign w:val="superscript"/>
              </w:rPr>
              <w:t xml:space="preserve">th </w:t>
            </w:r>
            <w:r w:rsidR="00FD0A3E">
              <w:t xml:space="preserve">-- </w:t>
            </w:r>
            <w:r w:rsidR="00812BB8">
              <w:t>6</w:t>
            </w:r>
            <w:r w:rsidR="00812BB8" w:rsidRPr="00812BB8">
              <w:rPr>
                <w:vertAlign w:val="superscript"/>
              </w:rPr>
              <w:t>th</w:t>
            </w:r>
            <w:r w:rsidR="00812BB8">
              <w:t xml:space="preserve"> grade </w:t>
            </w:r>
          </w:p>
          <w:p w:rsidR="009763B5" w:rsidRDefault="00AA24DC" w:rsidP="00812BB8">
            <w:sdt>
              <w:sdtPr>
                <w:id w:val="953986993"/>
                <w14:checkbox>
                  <w14:checked w14:val="0"/>
                  <w14:checkedState w14:val="2612" w14:font="MS Gothic"/>
                  <w14:uncheckedState w14:val="2610" w14:font="MS Gothic"/>
                </w14:checkbox>
              </w:sdtPr>
              <w:sdtEndPr/>
              <w:sdtContent>
                <w:r w:rsidR="009763B5">
                  <w:rPr>
                    <w:rFonts w:ascii="MS Gothic" w:eastAsia="MS Gothic" w:hAnsi="MS Gothic" w:hint="eastAsia"/>
                  </w:rPr>
                  <w:t>☐</w:t>
                </w:r>
              </w:sdtContent>
            </w:sdt>
            <w:r w:rsidR="009763B5">
              <w:t xml:space="preserve"> </w:t>
            </w:r>
            <w:r w:rsidR="00812BB8">
              <w:t>7</w:t>
            </w:r>
            <w:r w:rsidR="00812BB8" w:rsidRPr="00812BB8">
              <w:rPr>
                <w:vertAlign w:val="superscript"/>
              </w:rPr>
              <w:t>th</w:t>
            </w:r>
            <w:r w:rsidR="00812BB8">
              <w:t xml:space="preserve"> – 9</w:t>
            </w:r>
            <w:r w:rsidR="00812BB8" w:rsidRPr="00812BB8">
              <w:rPr>
                <w:vertAlign w:val="superscript"/>
              </w:rPr>
              <w:t>th</w:t>
            </w:r>
            <w:r w:rsidR="00812BB8">
              <w:t xml:space="preserve"> grade </w:t>
            </w:r>
          </w:p>
          <w:p w:rsidR="00812BB8" w:rsidRDefault="00AA24DC" w:rsidP="00812BB8">
            <w:sdt>
              <w:sdtPr>
                <w:id w:val="-93716985"/>
                <w14:checkbox>
                  <w14:checked w14:val="0"/>
                  <w14:checkedState w14:val="2612" w14:font="MS Gothic"/>
                  <w14:uncheckedState w14:val="2610" w14:font="MS Gothic"/>
                </w14:checkbox>
              </w:sdtPr>
              <w:sdtEndPr/>
              <w:sdtContent>
                <w:r w:rsidR="009763B5">
                  <w:rPr>
                    <w:rFonts w:ascii="MS Gothic" w:eastAsia="MS Gothic" w:hAnsi="MS Gothic" w:hint="eastAsia"/>
                  </w:rPr>
                  <w:t>☐</w:t>
                </w:r>
              </w:sdtContent>
            </w:sdt>
            <w:r w:rsidR="009763B5">
              <w:t xml:space="preserve"> </w:t>
            </w:r>
            <w:r w:rsidR="00812BB8">
              <w:t>10</w:t>
            </w:r>
            <w:r w:rsidR="00812BB8" w:rsidRPr="00812BB8">
              <w:rPr>
                <w:vertAlign w:val="superscript"/>
              </w:rPr>
              <w:t>th</w:t>
            </w:r>
            <w:r w:rsidR="00812BB8">
              <w:t xml:space="preserve"> – 12</w:t>
            </w:r>
            <w:r w:rsidR="00812BB8" w:rsidRPr="00812BB8">
              <w:rPr>
                <w:vertAlign w:val="superscript"/>
              </w:rPr>
              <w:t>th</w:t>
            </w:r>
            <w:r w:rsidR="00812BB8">
              <w:t xml:space="preserve"> grade</w:t>
            </w:r>
          </w:p>
          <w:p w:rsidR="00812BB8" w:rsidRDefault="00812BB8" w:rsidP="00333D8E">
            <w:pPr>
              <w:jc w:val="center"/>
            </w:pPr>
          </w:p>
        </w:tc>
      </w:tr>
      <w:tr w:rsidR="00812BB8" w:rsidTr="005E58C3">
        <w:tc>
          <w:tcPr>
            <w:tcW w:w="3192" w:type="dxa"/>
          </w:tcPr>
          <w:p w:rsidR="00812BB8" w:rsidRPr="00E90385" w:rsidRDefault="003A552C" w:rsidP="00812BB8">
            <w:pPr>
              <w:rPr>
                <w:b/>
              </w:rPr>
            </w:pPr>
            <w:r w:rsidRPr="00E90385">
              <w:rPr>
                <w:b/>
              </w:rPr>
              <w:t xml:space="preserve">Flesh Kincaid </w:t>
            </w:r>
            <w:r w:rsidR="00812BB8" w:rsidRPr="00E90385">
              <w:rPr>
                <w:b/>
              </w:rPr>
              <w:t>Reading Level:</w:t>
            </w:r>
          </w:p>
          <w:p w:rsidR="00812BB8" w:rsidRPr="00E90385" w:rsidRDefault="00812BB8" w:rsidP="00333D8E">
            <w:pPr>
              <w:jc w:val="center"/>
              <w:rPr>
                <w:b/>
              </w:rPr>
            </w:pPr>
          </w:p>
        </w:tc>
        <w:tc>
          <w:tcPr>
            <w:tcW w:w="6384" w:type="dxa"/>
          </w:tcPr>
          <w:p w:rsidR="00812BB8" w:rsidRPr="00FA01F7" w:rsidRDefault="00CC7018" w:rsidP="00E97ABF">
            <w:pPr>
              <w:rPr>
                <w:i/>
                <w:highlight w:val="lightGray"/>
              </w:rPr>
            </w:pPr>
            <w:r>
              <w:rPr>
                <w:i/>
                <w:highlight w:val="lightGray"/>
              </w:rPr>
              <w:t xml:space="preserve">6.5  </w:t>
            </w:r>
          </w:p>
        </w:tc>
      </w:tr>
      <w:tr w:rsidR="00053D07" w:rsidTr="005E58C3">
        <w:tc>
          <w:tcPr>
            <w:tcW w:w="9576" w:type="dxa"/>
            <w:gridSpan w:val="2"/>
            <w:tcBorders>
              <w:bottom w:val="single" w:sz="4" w:space="0" w:color="auto"/>
            </w:tcBorders>
          </w:tcPr>
          <w:p w:rsidR="00053D07" w:rsidRPr="00E90385" w:rsidRDefault="00735DD2" w:rsidP="003A552C">
            <w:pPr>
              <w:rPr>
                <w:b/>
              </w:rPr>
            </w:pPr>
            <w:r>
              <w:rPr>
                <w:b/>
              </w:rPr>
              <w:t>Article Text:</w:t>
            </w:r>
          </w:p>
        </w:tc>
      </w:tr>
      <w:tr w:rsidR="00053D07" w:rsidTr="005E58C3">
        <w:tc>
          <w:tcPr>
            <w:tcW w:w="9576" w:type="dxa"/>
            <w:gridSpan w:val="2"/>
            <w:tcBorders>
              <w:top w:val="single" w:sz="4" w:space="0" w:color="auto"/>
            </w:tcBorders>
          </w:tcPr>
          <w:p w:rsidR="00421FE6" w:rsidRDefault="00421FE6" w:rsidP="00421FE6">
            <w:r>
              <w:t>As you read in “Cross-reference article” paper is made up of cellulose, which is a polymer of glucose.  Think about the paper that you write on in school.  What happens when it gets wet?  Does it fall apart?  Now think about toilet paper.  What happens when it gets wet?  Does it fall apart?  If both of commonly used items are paper, and are made of the same chemicals, why do they behave so differently?</w:t>
            </w:r>
          </w:p>
          <w:p w:rsidR="00421FE6" w:rsidRDefault="00421FE6" w:rsidP="00421FE6">
            <w:r>
              <w:t xml:space="preserve">The difference is in the length and kind of molecules making up the paper fibers.  The cellulose fibers in toilet paper are very short.  When toilet paper gets wet, the water is attracted to the OH groups on the cellulose, causing the paper to swell and pushing the fibers apart.  Add a little bit of stirring (FLUSH!) and the paper breaks up into tiny pieces that are easily carried through the pipes and to the sewage treatment plant.  </w:t>
            </w:r>
          </w:p>
          <w:p w:rsidR="00421FE6" w:rsidRDefault="00421FE6" w:rsidP="00421FE6">
            <w:r>
              <w:t xml:space="preserve">But what about baby wipes?  They are used to wipe the same “stuff” off of the same part of the body?  Why don’t we flush those?  The difference is in the chemistry.  Baby wipes use a different molecules including long fibers of polypropylene, polyester and rayon.  These fibers make the wipes really soft (soft as a baby’s bottom!) but do not attract as much water because they are made up of different atoms.  And because the fibers are much longer, the wipes do not break up into tiny pieces.  </w:t>
            </w:r>
          </w:p>
          <w:p w:rsidR="00421FE6" w:rsidRDefault="00421FE6" w:rsidP="00421FE6">
            <w:r>
              <w:t xml:space="preserve">When you flush baby wipes, these larger pieces don’t move through the pipes as well.  They aren’t carried by the flow of the water.  They bunch up together and attract oils and fats in the wastewater.  This is because “like dissolves like”.  Although the cellulose attracts water (insert figure) the polypropylene in baby wipes is made up of carbon and hydrogen atoms.  This attracts fats and oils.  The oils stick to the baby wipes, and then the baby wipes begin to stick to each other, attracting more oil. This makes a gooey, insoluble glob called a “fatberg”.  The fatberg can grow and grow, clogging drains and sewer pipes.  Many cities are very worried about fatbergs because they are very difficult (and disgusting) to remove.  In 2017 a 130 ton fatberg was removed from the sewers in London, England. It is now on display at the Museum of London.  </w:t>
            </w:r>
          </w:p>
          <w:p w:rsidR="00053D07" w:rsidRPr="003A552C" w:rsidRDefault="003A552C" w:rsidP="00812BB8">
            <w:pPr>
              <w:rPr>
                <w:i/>
              </w:rPr>
            </w:pPr>
            <w:r w:rsidRPr="003A552C">
              <w:rPr>
                <w:i/>
                <w:highlight w:val="lightGray"/>
              </w:rPr>
              <w:t>.</w:t>
            </w:r>
          </w:p>
          <w:p w:rsidR="003A552C" w:rsidRDefault="003A552C" w:rsidP="00812BB8"/>
          <w:p w:rsidR="00735DD2" w:rsidRDefault="00735DD2" w:rsidP="00812BB8"/>
          <w:p w:rsidR="00735DD2" w:rsidRDefault="00735DD2" w:rsidP="00812BB8"/>
          <w:p w:rsidR="00735DD2" w:rsidRDefault="00735DD2"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E97ABF" w:rsidRDefault="00E97ABF" w:rsidP="00812BB8"/>
          <w:p w:rsidR="00735DD2" w:rsidRDefault="00735DD2" w:rsidP="00812BB8"/>
          <w:p w:rsidR="00735DD2" w:rsidRDefault="00735DD2" w:rsidP="00812BB8"/>
          <w:p w:rsidR="00735DD2" w:rsidRDefault="00735DD2" w:rsidP="00812BB8"/>
          <w:p w:rsidR="00735DD2" w:rsidRDefault="00735DD2" w:rsidP="00812BB8"/>
        </w:tc>
      </w:tr>
      <w:tr w:rsidR="00053D07" w:rsidTr="005E58C3">
        <w:tc>
          <w:tcPr>
            <w:tcW w:w="9576" w:type="dxa"/>
            <w:gridSpan w:val="2"/>
            <w:tcBorders>
              <w:bottom w:val="single" w:sz="4" w:space="0" w:color="auto"/>
            </w:tcBorders>
          </w:tcPr>
          <w:p w:rsidR="00053D07" w:rsidRPr="00E90385" w:rsidRDefault="00053D07" w:rsidP="003A552C">
            <w:pPr>
              <w:rPr>
                <w:b/>
              </w:rPr>
            </w:pPr>
            <w:r w:rsidRPr="00E90385">
              <w:rPr>
                <w:b/>
              </w:rPr>
              <w:lastRenderedPageBreak/>
              <w:t>References:</w:t>
            </w:r>
          </w:p>
        </w:tc>
      </w:tr>
      <w:tr w:rsidR="009F793C" w:rsidTr="005E58C3">
        <w:trPr>
          <w:trHeight w:val="1412"/>
        </w:trPr>
        <w:tc>
          <w:tcPr>
            <w:tcW w:w="9576" w:type="dxa"/>
            <w:gridSpan w:val="2"/>
            <w:tcBorders>
              <w:top w:val="single" w:sz="4" w:space="0" w:color="auto"/>
            </w:tcBorders>
          </w:tcPr>
          <w:p w:rsidR="00CC7018" w:rsidRDefault="00CC7018" w:rsidP="00CC7018">
            <w:hyperlink r:id="rId9" w:history="1">
              <w:r w:rsidRPr="006C1366">
                <w:rPr>
                  <w:rStyle w:val="Hyperlink"/>
                </w:rPr>
                <w:t>https://www.cnn.com/2018/01/18/world/museum-of-london-fatberg-exhibit/index.html</w:t>
              </w:r>
            </w:hyperlink>
          </w:p>
          <w:p w:rsidR="00CC7018" w:rsidRDefault="00CC7018" w:rsidP="00E97ABF">
            <w:pPr>
              <w:rPr>
                <w:i/>
                <w:highlight w:val="lightGray"/>
              </w:rPr>
            </w:pPr>
          </w:p>
          <w:p w:rsidR="00CC7018" w:rsidRDefault="00CC7018" w:rsidP="00CC7018">
            <w:r>
              <w:t>Images:</w:t>
            </w:r>
          </w:p>
          <w:p w:rsidR="00CC7018" w:rsidRDefault="00CC7018" w:rsidP="00CC7018">
            <w:r>
              <w:rPr>
                <w:noProof/>
              </w:rPr>
              <w:drawing>
                <wp:inline distT="0" distB="0" distL="0" distR="0" wp14:anchorId="66CBF1D1" wp14:editId="3908DDDB">
                  <wp:extent cx="951230" cy="848360"/>
                  <wp:effectExtent l="0" t="0" r="1270" b="8890"/>
                  <wp:docPr id="1" name="Picture 1" descr="Polypropyl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lypropyle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1230" cy="848360"/>
                          </a:xfrm>
                          <a:prstGeom prst="rect">
                            <a:avLst/>
                          </a:prstGeom>
                          <a:noFill/>
                          <a:ln>
                            <a:noFill/>
                          </a:ln>
                        </pic:spPr>
                      </pic:pic>
                    </a:graphicData>
                  </a:graphic>
                </wp:inline>
              </w:drawing>
            </w:r>
            <w:r>
              <w:t xml:space="preserve"> polypropylene (public domain)  </w:t>
            </w:r>
            <w:hyperlink r:id="rId11" w:history="1">
              <w:r w:rsidRPr="006C1366">
                <w:rPr>
                  <w:rStyle w:val="Hyperlink"/>
                </w:rPr>
                <w:t>https://en.wikipedia.org/wiki/Polypropylene#/media/File:Polypropylen.svg</w:t>
              </w:r>
            </w:hyperlink>
          </w:p>
          <w:p w:rsidR="00CC7018" w:rsidRDefault="00CC7018" w:rsidP="00CC7018">
            <w:r>
              <w:rPr>
                <w:noProof/>
              </w:rPr>
              <w:drawing>
                <wp:inline distT="0" distB="0" distL="0" distR="0" wp14:anchorId="2433E8DC" wp14:editId="767912A4">
                  <wp:extent cx="2479675" cy="1141095"/>
                  <wp:effectExtent l="0" t="0" r="0" b="1905"/>
                  <wp:docPr id="2" name="Picture 2" descr="Cellulose, a linear polymer of D-glucose units (two are shown) linked by β(1→4)-glycosidic bo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llulose, a linear polymer of D-glucose units (two are shown) linked by β(1→4)-glycosidic bond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9675" cy="1141095"/>
                          </a:xfrm>
                          <a:prstGeom prst="rect">
                            <a:avLst/>
                          </a:prstGeom>
                          <a:noFill/>
                          <a:ln>
                            <a:noFill/>
                          </a:ln>
                        </pic:spPr>
                      </pic:pic>
                    </a:graphicData>
                  </a:graphic>
                </wp:inline>
              </w:drawing>
            </w:r>
            <w:r>
              <w:t xml:space="preserve"> Cellulose (public domain)</w:t>
            </w:r>
            <w:r w:rsidRPr="00056F8F">
              <w:t xml:space="preserve"> </w:t>
            </w:r>
            <w:hyperlink r:id="rId13" w:history="1">
              <w:r w:rsidRPr="006C1366">
                <w:rPr>
                  <w:rStyle w:val="Hyperlink"/>
                </w:rPr>
                <w:t>https://en.wikipedia.org/wiki/Cellulose#/media/File:Cellulose_Sessel.svg</w:t>
              </w:r>
            </w:hyperlink>
          </w:p>
          <w:p w:rsidR="00CC7018" w:rsidRDefault="00CC7018" w:rsidP="00CC7018">
            <w:r>
              <w:rPr>
                <w:noProof/>
              </w:rPr>
              <w:lastRenderedPageBreak/>
              <w:drawing>
                <wp:inline distT="0" distB="0" distL="0" distR="0" wp14:anchorId="1DCD0BCD" wp14:editId="5E4A7271">
                  <wp:extent cx="5943600" cy="4462628"/>
                  <wp:effectExtent l="0" t="0" r="0" b="0"/>
                  <wp:docPr id="3" name="Picture 3" descr="https://upload.wikimedia.org/wikipedia/commons/thumb/2/24/Fatberg_at_Museum_of_London.jpg/1024px-Fatberg_at_Museum_of_Lon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2/24/Fatberg_at_Museum_of_London.jpg/1024px-Fatberg_at_Museum_of_Londo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462628"/>
                          </a:xfrm>
                          <a:prstGeom prst="rect">
                            <a:avLst/>
                          </a:prstGeom>
                          <a:noFill/>
                          <a:ln>
                            <a:noFill/>
                          </a:ln>
                        </pic:spPr>
                      </pic:pic>
                    </a:graphicData>
                  </a:graphic>
                </wp:inline>
              </w:drawing>
            </w:r>
          </w:p>
          <w:p w:rsidR="00CC7018" w:rsidRDefault="00CC7018" w:rsidP="00CC7018">
            <w:pPr>
              <w:rPr>
                <w:rStyle w:val="mw-mmv-title"/>
              </w:rPr>
            </w:pPr>
            <w:r>
              <w:rPr>
                <w:rStyle w:val="mw-mmv-title"/>
              </w:rPr>
              <w:t xml:space="preserve">A dried section of the Whitechapel fatberg, on display at the Museum of London.  Lord </w:t>
            </w:r>
            <w:proofErr w:type="spellStart"/>
            <w:r>
              <w:rPr>
                <w:rStyle w:val="mw-mmv-title"/>
              </w:rPr>
              <w:t>Belbury</w:t>
            </w:r>
            <w:proofErr w:type="spellEnd"/>
          </w:p>
          <w:p w:rsidR="00CC7018" w:rsidRDefault="00CC7018" w:rsidP="00CC7018">
            <w:pPr>
              <w:rPr>
                <w:rStyle w:val="mw-mmv-title"/>
              </w:rPr>
            </w:pPr>
            <w:hyperlink r:id="rId15" w:history="1">
              <w:r w:rsidRPr="006C1366">
                <w:rPr>
                  <w:rStyle w:val="Hyperlink"/>
                </w:rPr>
                <w:t>https://en.wikipedia.org/wiki/Fatberg#/media/File:Fatberg_at_Museum_of_London.jpg</w:t>
              </w:r>
            </w:hyperlink>
            <w:r>
              <w:rPr>
                <w:rStyle w:val="mw-mmv-title"/>
              </w:rPr>
              <w:t xml:space="preserve"> Creative Commons.  Can be reused with attribution.  </w:t>
            </w:r>
          </w:p>
          <w:p w:rsidR="003A552C" w:rsidRPr="003A552C" w:rsidRDefault="003A552C" w:rsidP="00E97ABF">
            <w:pPr>
              <w:rPr>
                <w:i/>
              </w:rPr>
            </w:pPr>
            <w:r w:rsidRPr="003A552C">
              <w:rPr>
                <w:i/>
                <w:highlight w:val="lightGray"/>
              </w:rPr>
              <w:t>.</w:t>
            </w:r>
          </w:p>
        </w:tc>
      </w:tr>
    </w:tbl>
    <w:p w:rsidR="00812BB8" w:rsidRDefault="00812BB8" w:rsidP="00812BB8">
      <w:pPr>
        <w:sectPr w:rsidR="00812BB8" w:rsidSect="002E4B1E">
          <w:headerReference w:type="default" r:id="rId16"/>
          <w:type w:val="continuous"/>
          <w:pgSz w:w="12240" w:h="15840"/>
          <w:pgMar w:top="1260" w:right="1440" w:bottom="1260" w:left="1440" w:header="720" w:footer="720" w:gutter="0"/>
          <w:cols w:space="720"/>
          <w:docGrid w:linePitch="360"/>
        </w:sectPr>
      </w:pPr>
    </w:p>
    <w:p w:rsidR="00812BB8" w:rsidRDefault="00812BB8">
      <w:pPr>
        <w:sectPr w:rsidR="00812BB8" w:rsidSect="00812BB8">
          <w:type w:val="continuous"/>
          <w:pgSz w:w="12240" w:h="15840"/>
          <w:pgMar w:top="1440" w:right="1440" w:bottom="1440" w:left="1440" w:header="720" w:footer="720" w:gutter="0"/>
          <w:cols w:num="2" w:space="720"/>
          <w:docGrid w:linePitch="360"/>
        </w:sectPr>
      </w:pPr>
    </w:p>
    <w:p w:rsidR="00333D8E" w:rsidRDefault="00333D8E" w:rsidP="00E90385"/>
    <w:sectPr w:rsidR="00333D8E" w:rsidSect="00333D8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24DC" w:rsidRDefault="00AA24DC" w:rsidP="00812BB8">
      <w:pPr>
        <w:spacing w:after="0" w:line="240" w:lineRule="auto"/>
      </w:pPr>
      <w:r>
        <w:separator/>
      </w:r>
    </w:p>
  </w:endnote>
  <w:endnote w:type="continuationSeparator" w:id="0">
    <w:p w:rsidR="00AA24DC" w:rsidRDefault="00AA24DC" w:rsidP="0081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24DC" w:rsidRDefault="00AA24DC" w:rsidP="00812BB8">
      <w:pPr>
        <w:spacing w:after="0" w:line="240" w:lineRule="auto"/>
      </w:pPr>
      <w:r>
        <w:separator/>
      </w:r>
    </w:p>
  </w:footnote>
  <w:footnote w:type="continuationSeparator" w:id="0">
    <w:p w:rsidR="00AA24DC" w:rsidRDefault="00AA24DC" w:rsidP="00812B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418" w:rsidRPr="00E90385" w:rsidRDefault="00D85418" w:rsidP="009C0E29">
    <w:pPr>
      <w:pStyle w:val="Header"/>
      <w:jc w:val="center"/>
      <w:rPr>
        <w:b/>
      </w:rPr>
    </w:pPr>
    <w:r w:rsidRPr="00E90385">
      <w:rPr>
        <w:b/>
      </w:rPr>
      <w:t xml:space="preserve">Celebrating Chemistry </w:t>
    </w:r>
    <w:r w:rsidR="00735DD2">
      <w:rPr>
        <w:b/>
      </w:rPr>
      <w:t>Article</w:t>
    </w:r>
    <w:r w:rsidRPr="00E90385">
      <w:rPr>
        <w:b/>
      </w:rPr>
      <w:t xml:space="preserve"> Submission Template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3210F"/>
    <w:multiLevelType w:val="hybridMultilevel"/>
    <w:tmpl w:val="DFCA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45348"/>
    <w:multiLevelType w:val="hybridMultilevel"/>
    <w:tmpl w:val="5604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107162"/>
    <w:multiLevelType w:val="hybridMultilevel"/>
    <w:tmpl w:val="0668069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495D2E"/>
    <w:multiLevelType w:val="hybridMultilevel"/>
    <w:tmpl w:val="CE18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255A1E"/>
    <w:multiLevelType w:val="hybridMultilevel"/>
    <w:tmpl w:val="E8BAB85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D8E"/>
    <w:rsid w:val="00053D07"/>
    <w:rsid w:val="001C4449"/>
    <w:rsid w:val="002E0AA4"/>
    <w:rsid w:val="002E4B1E"/>
    <w:rsid w:val="00333D8E"/>
    <w:rsid w:val="003A552C"/>
    <w:rsid w:val="003B2260"/>
    <w:rsid w:val="00421FE6"/>
    <w:rsid w:val="004B47E4"/>
    <w:rsid w:val="005D4218"/>
    <w:rsid w:val="005E58C3"/>
    <w:rsid w:val="006377DD"/>
    <w:rsid w:val="00691A04"/>
    <w:rsid w:val="00735DD2"/>
    <w:rsid w:val="007E2EDA"/>
    <w:rsid w:val="00812BB8"/>
    <w:rsid w:val="008C72FD"/>
    <w:rsid w:val="009763B5"/>
    <w:rsid w:val="009A7055"/>
    <w:rsid w:val="009C0E29"/>
    <w:rsid w:val="009F793C"/>
    <w:rsid w:val="00A644A4"/>
    <w:rsid w:val="00AA24DC"/>
    <w:rsid w:val="00BB52AD"/>
    <w:rsid w:val="00BC180B"/>
    <w:rsid w:val="00CC7018"/>
    <w:rsid w:val="00D85418"/>
    <w:rsid w:val="00E62056"/>
    <w:rsid w:val="00E638E8"/>
    <w:rsid w:val="00E90385"/>
    <w:rsid w:val="00E97ABF"/>
    <w:rsid w:val="00F63355"/>
    <w:rsid w:val="00FA01F7"/>
    <w:rsid w:val="00FA3FCF"/>
    <w:rsid w:val="00FD0A3E"/>
    <w:rsid w:val="00FD2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9C0E29"/>
    <w:rPr>
      <w:color w:val="0000FF" w:themeColor="hyperlink"/>
      <w:u w:val="single"/>
    </w:rPr>
  </w:style>
  <w:style w:type="character" w:customStyle="1" w:styleId="mw-mmv-title">
    <w:name w:val="mw-mmv-title"/>
    <w:basedOn w:val="DefaultParagraphFont"/>
    <w:rsid w:val="00CC70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9C0E29"/>
    <w:rPr>
      <w:color w:val="0000FF" w:themeColor="hyperlink"/>
      <w:u w:val="single"/>
    </w:rPr>
  </w:style>
  <w:style w:type="character" w:customStyle="1" w:styleId="mw-mmv-title">
    <w:name w:val="mw-mmv-title"/>
    <w:basedOn w:val="DefaultParagraphFont"/>
    <w:rsid w:val="00CC7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n.wikipedia.org/wiki/Cellulose#/media/File:Cellulose_Sessel.sv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Polypropylene#/media/File:Polypropylen.svg" TargetMode="External"/><Relationship Id="rId5" Type="http://schemas.openxmlformats.org/officeDocument/2006/relationships/settings" Target="settings.xml"/><Relationship Id="rId15" Type="http://schemas.openxmlformats.org/officeDocument/2006/relationships/hyperlink" Target="https://en.wikipedia.org/wiki/Fatberg#/media/File:Fatberg_at_Museum_of_London.jpg" TargetMode="Externa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s://www.cnn.com/2018/01/18/world/museum-of-london-fatberg-exhibit/index.html"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DFDC5A-A545-4F58-AE25-285D250A4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565</Words>
  <Characters>2891</Characters>
  <Application>Microsoft Office Word</Application>
  <DocSecurity>0</DocSecurity>
  <Lines>55</Lines>
  <Paragraphs>30</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Alvin C. Collins</dc:creator>
  <cp:lastModifiedBy>Asper, Janet A CTR NSWCDD, B21, B21</cp:lastModifiedBy>
  <cp:revision>2</cp:revision>
  <cp:lastPrinted>2010-12-16T14:57:00Z</cp:lastPrinted>
  <dcterms:created xsi:type="dcterms:W3CDTF">2018-05-29T18:48:00Z</dcterms:created>
  <dcterms:modified xsi:type="dcterms:W3CDTF">2018-05-29T18:48:00Z</dcterms:modified>
</cp:coreProperties>
</file>