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Look w:val="04A0" w:firstRow="1" w:lastRow="0" w:firstColumn="1" w:lastColumn="0" w:noHBand="0" w:noVBand="1"/>
      </w:tblPr>
      <w:tblGrid>
        <w:gridCol w:w="9450"/>
      </w:tblGrid>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Tomorrow's Therapeutics: Natural Products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2326533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of adjuvant therapeutics for leukemia: Potent and selective AKR1C3 inhibitors based on a natural product scaffold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Paul Trippier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paul.trippier@ttuhsc.edu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Kshitij Verma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Tianzhu Zang</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Trevor M. Penning</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Paul C. Trippier</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Pharmaceutical Sciences, Texas Tech University Health Sciences Center, Amarillo, TX, United States. </w:t>
                  </w:r>
                  <w:r w:rsidRPr="001F5B5C">
                    <w:rPr>
                      <w:rFonts w:ascii="Times New Roman" w:eastAsia="Times New Roman" w:hAnsi="Times New Roman"/>
                      <w:sz w:val="20"/>
                      <w:szCs w:val="20"/>
                    </w:rPr>
                    <w:br/>
                    <w:t xml:space="preserve">2. Center for Chemical Biology, Texas Tech University, Lubbock, TX, United States. </w:t>
                  </w:r>
                  <w:r w:rsidRPr="001F5B5C">
                    <w:rPr>
                      <w:rFonts w:ascii="Times New Roman" w:eastAsia="Times New Roman" w:hAnsi="Times New Roman"/>
                      <w:sz w:val="20"/>
                      <w:szCs w:val="20"/>
                    </w:rPr>
                    <w:br/>
                    <w:t xml:space="preserve">3. Center for Excellence in Environmental Toxicology, Department of Systems Pharmacology and Translational Therapeutics, Perelman School of Medicine, University of Pennsylvania, Philadelphia, PA,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PRESENTATION TYPE:</w:t>
                  </w:r>
                  <w:bookmarkStart w:id="0" w:name="_GoBack"/>
                  <w:bookmarkEnd w:id="0"/>
                  <w:r w:rsidRPr="001F5B5C">
                    <w:rPr>
                      <w:rFonts w:ascii="Times New Roman" w:eastAsia="Times New Roman" w:hAnsi="Times New Roman"/>
                      <w:b/>
                      <w:bCs/>
                      <w:sz w:val="20"/>
                      <w:szCs w:val="20"/>
                    </w:rPr>
                    <w:t xml:space="preserv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Acute myeloid leukemia (AML) is a blood cancer characterized by uncontrolled proliferation of poorly differentiated myeloid cells within the bone marrow. Current drugs non-selectively damage DNA in rapidly proliferating cells, resulting in high levels of toxicity. Pediatric and geriatric patients have reduced tolerance to high dose chemotherapy and poor prognosis. If the efficacy of chemotherapeutic agents can be enhanced, this will have a high clinical impact on leading to lower dosing of chemotherapeutic agents and reduced chemotherapy-related toxicity.</w:t>
                  </w:r>
                  <w:r w:rsidRPr="001F5B5C">
                    <w:rPr>
                      <w:rFonts w:ascii="Times New Roman" w:eastAsia="Times New Roman" w:hAnsi="Times New Roman"/>
                      <w:sz w:val="20"/>
                      <w:szCs w:val="20"/>
                    </w:rPr>
                    <w:br/>
                    <w:t>The aldo-keto reductase 1C3 (AKR1C3) enzyme is overexpressed in leukemia cells. The enzyme converts the prostaglandin (PG) PGD</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to PGF</w:t>
                  </w:r>
                  <w:r w:rsidRPr="001F5B5C">
                    <w:rPr>
                      <w:rFonts w:ascii="Times New Roman" w:eastAsia="Times New Roman" w:hAnsi="Times New Roman"/>
                      <w:sz w:val="20"/>
                      <w:szCs w:val="20"/>
                      <w:vertAlign w:val="subscript"/>
                    </w:rPr>
                    <w:t>2α</w:t>
                  </w:r>
                  <w:r w:rsidRPr="001F5B5C">
                    <w:rPr>
                      <w:rFonts w:ascii="Times New Roman" w:eastAsia="Times New Roman" w:hAnsi="Times New Roman"/>
                      <w:sz w:val="20"/>
                      <w:szCs w:val="20"/>
                    </w:rPr>
                    <w:t>. PGF</w:t>
                  </w:r>
                  <w:r w:rsidRPr="001F5B5C">
                    <w:rPr>
                      <w:rFonts w:ascii="Times New Roman" w:eastAsia="Times New Roman" w:hAnsi="Times New Roman"/>
                      <w:sz w:val="20"/>
                      <w:szCs w:val="20"/>
                      <w:vertAlign w:val="subscript"/>
                    </w:rPr>
                    <w:t>2α</w:t>
                  </w:r>
                  <w:r w:rsidRPr="001F5B5C">
                    <w:rPr>
                      <w:rFonts w:ascii="Times New Roman" w:eastAsia="Times New Roman" w:hAnsi="Times New Roman"/>
                      <w:sz w:val="20"/>
                      <w:szCs w:val="20"/>
                    </w:rPr>
                    <w:t xml:space="preserve"> functions to arrest myeloid differentiation by antagonism of peroxisome proliferator-activated receptor γ and by stimulating mitogen activated protein kinase(s) via occupying the FP1 receptor. Inhibition of AKR1C3 thus prevents the formation of PGF</w:t>
                  </w:r>
                  <w:r w:rsidRPr="001F5B5C">
                    <w:rPr>
                      <w:rFonts w:ascii="Times New Roman" w:eastAsia="Times New Roman" w:hAnsi="Times New Roman"/>
                      <w:sz w:val="20"/>
                      <w:szCs w:val="20"/>
                      <w:vertAlign w:val="subscript"/>
                    </w:rPr>
                    <w:t>2α</w:t>
                  </w:r>
                  <w:r w:rsidRPr="001F5B5C">
                    <w:rPr>
                      <w:rFonts w:ascii="Times New Roman" w:eastAsia="Times New Roman" w:hAnsi="Times New Roman"/>
                      <w:sz w:val="20"/>
                      <w:szCs w:val="20"/>
                    </w:rPr>
                    <w:t xml:space="preserve"> and results in potentiation of myeloid differentiation.</w:t>
                  </w:r>
                  <w:r w:rsidRPr="001F5B5C">
                    <w:rPr>
                      <w:rFonts w:ascii="Times New Roman" w:eastAsia="Times New Roman" w:hAnsi="Times New Roman"/>
                      <w:sz w:val="20"/>
                      <w:szCs w:val="20"/>
                    </w:rPr>
                    <w:br/>
                    <w:t>Baccharin (Benzenepropanoic acid, 4-[(</w:t>
                  </w:r>
                  <w:r w:rsidRPr="001F5B5C">
                    <w:rPr>
                      <w:rFonts w:ascii="Times New Roman" w:eastAsia="Times New Roman" w:hAnsi="Times New Roman"/>
                      <w:i/>
                      <w:iCs/>
                      <w:sz w:val="20"/>
                      <w:szCs w:val="20"/>
                    </w:rPr>
                    <w:t>E</w:t>
                  </w:r>
                  <w:r w:rsidRPr="001F5B5C">
                    <w:rPr>
                      <w:rFonts w:ascii="Times New Roman" w:eastAsia="Times New Roman" w:hAnsi="Times New Roman"/>
                      <w:sz w:val="20"/>
                      <w:szCs w:val="20"/>
                    </w:rPr>
                    <w:t>)-2-carboxyethenyl]-2-(3-methyl-2-buten-1-yl</w:t>
                  </w:r>
                  <w:proofErr w:type="gramStart"/>
                  <w:r w:rsidRPr="001F5B5C">
                    <w:rPr>
                      <w:rFonts w:ascii="Times New Roman" w:eastAsia="Times New Roman" w:hAnsi="Times New Roman"/>
                      <w:sz w:val="20"/>
                      <w:szCs w:val="20"/>
                    </w:rPr>
                    <w:t>)phenyl</w:t>
                  </w:r>
                  <w:proofErr w:type="gramEnd"/>
                  <w:r w:rsidRPr="001F5B5C">
                    <w:rPr>
                      <w:rFonts w:ascii="Times New Roman" w:eastAsia="Times New Roman" w:hAnsi="Times New Roman"/>
                      <w:sz w:val="20"/>
                      <w:szCs w:val="20"/>
                    </w:rPr>
                    <w:t xml:space="preserve"> ester), a structurally distinct natural product, demonstrates potent inhibition coupled with a high selectivity for AKR1C3 (IC</w:t>
                  </w:r>
                  <w:r w:rsidRPr="001F5B5C">
                    <w:rPr>
                      <w:rFonts w:ascii="Times New Roman" w:eastAsia="Times New Roman" w:hAnsi="Times New Roman"/>
                      <w:sz w:val="20"/>
                      <w:szCs w:val="20"/>
                      <w:vertAlign w:val="subscript"/>
                    </w:rPr>
                    <w:t>50</w:t>
                  </w:r>
                  <w:r w:rsidRPr="001F5B5C">
                    <w:rPr>
                      <w:rFonts w:ascii="Times New Roman" w:eastAsia="Times New Roman" w:hAnsi="Times New Roman"/>
                      <w:sz w:val="20"/>
                      <w:szCs w:val="20"/>
                    </w:rPr>
                    <w:t>: ~100 nM) over the other human AKR isoforms. Baccharin however, possesses several structural alerts; an ester bond, crucial for activity, is metabolically unstable, and a Michael acceptor is a known toxicophore.</w:t>
                  </w:r>
                  <w:r w:rsidRPr="001F5B5C">
                    <w:rPr>
                      <w:rFonts w:ascii="Times New Roman" w:eastAsia="Times New Roman" w:hAnsi="Times New Roman"/>
                      <w:sz w:val="20"/>
                      <w:szCs w:val="20"/>
                    </w:rPr>
                    <w:br/>
                    <w:t>Preliminary structure-activity relationship studies for baccharin-mediated AKR1C3 inhibition have identified multiple regions of the baccharin scaffold that are amenable to modification. Modeling of the scaffold within the AKR1C3 active site has identified critical interactions between functional groups on the hit structure and amino acid residues unique to the AKR1C3 isoform.</w:t>
                  </w:r>
                  <w:r w:rsidRPr="001F5B5C">
                    <w:rPr>
                      <w:rFonts w:ascii="Times New Roman" w:eastAsia="Times New Roman" w:hAnsi="Times New Roman"/>
                      <w:sz w:val="20"/>
                      <w:szCs w:val="20"/>
                    </w:rPr>
                    <w:br/>
                    <w:t>We show that hydrolytically stable non-toxic AKR1C3 inhibitors based on the natural product scaffold exert an adjuvant effect on AML cell lines, enhancing the cytotoxicity of etoposide by up to six-fold.</w:t>
                  </w:r>
                  <w:r w:rsidRPr="001F5B5C">
                    <w:rPr>
                      <w:rFonts w:ascii="Times New Roman" w:eastAsia="Times New Roman" w:hAnsi="Times New Roman"/>
                      <w:sz w:val="20"/>
                      <w:szCs w:val="20"/>
                    </w:rPr>
                    <w:br/>
                    <w:t>Etoposide (0.5 μM) provides approximately 20% reduction of cell viability in a human AML cellular model. Application of 0.5 μM etoposide with 1.0 μM of our non-toxic lead compound resulted in significant synergism between the two agents resulting in 60% reduction of leukemia cell viability: an adjuvant effect far greater than reported pan-AKR1C inhibitors.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5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Tomorrow's Therapeutics: Natural Products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2351994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of Spectinamides as New Anti-tuberculosis Drug Candidates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Jiuyu Liu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jiuyu.liu@stjude.org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Jiuyu Liu</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Bruhn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tanja matt</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michael scherman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Dora Madhura</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Zhong Zheng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Samanthi L. Waidyarachchi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Erik Bottger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Anne Lenaerts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Bernd Meibohm</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Richard E. Lee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St Jude Children's Research Hospital, Memphis, TN, United States. </w:t>
                  </w:r>
                  <w:r w:rsidRPr="001F5B5C">
                    <w:rPr>
                      <w:rFonts w:ascii="Times New Roman" w:eastAsia="Times New Roman" w:hAnsi="Times New Roman"/>
                      <w:sz w:val="20"/>
                      <w:szCs w:val="20"/>
                    </w:rPr>
                    <w:br/>
                    <w:t xml:space="preserve">2. University of Zurich, Zürich, Switzerland. </w:t>
                  </w:r>
                  <w:r w:rsidRPr="001F5B5C">
                    <w:rPr>
                      <w:rFonts w:ascii="Times New Roman" w:eastAsia="Times New Roman" w:hAnsi="Times New Roman"/>
                      <w:sz w:val="20"/>
                      <w:szCs w:val="20"/>
                    </w:rPr>
                    <w:br/>
                    <w:t xml:space="preserve">3. Colorado state university, Fort collins, CO, United States. </w:t>
                  </w:r>
                  <w:r w:rsidRPr="001F5B5C">
                    <w:rPr>
                      <w:rFonts w:ascii="Times New Roman" w:eastAsia="Times New Roman" w:hAnsi="Times New Roman"/>
                      <w:sz w:val="20"/>
                      <w:szCs w:val="20"/>
                    </w:rPr>
                    <w:br/>
                    <w:t xml:space="preserve">4. University of Tennessee HSC,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Spectinomycin is a potent bacterial protein synthesis inhibitor yet has poor antimycobacterial activity. By using structure based drug design a pyridyl side chain was introduced to Spectinomycin, which generated a novel series of 3'-substituted spectinamides. Spectinamides are promising new semisynthetic anti-tubercular agents, which blocks native efflux from the tuberculosis cell. From the 140 spectinamides synthesized, a clear structure activity relationship has been established with respect to antitubercular activity and protein synthesis inhibition. From this panel, the most potent compounds showed M. tuberculosis MICs that are far superior to the MIC of Spectinomycin and comparable to Streptomycin. Lead spectinamides are potent against MDR/XDR-tuberculosis and are not cross resistant to any current tuberculosis therapeutics. </w:t>
                  </w:r>
                  <w:proofErr w:type="gramStart"/>
                  <w:r w:rsidRPr="001F5B5C">
                    <w:rPr>
                      <w:rFonts w:ascii="Times New Roman" w:eastAsia="Times New Roman" w:hAnsi="Times New Roman"/>
                      <w:sz w:val="20"/>
                      <w:szCs w:val="20"/>
                    </w:rPr>
                    <w:t>based</w:t>
                  </w:r>
                  <w:proofErr w:type="gramEnd"/>
                  <w:r w:rsidRPr="001F5B5C">
                    <w:rPr>
                      <w:rFonts w:ascii="Times New Roman" w:eastAsia="Times New Roman" w:hAnsi="Times New Roman"/>
                      <w:sz w:val="20"/>
                      <w:szCs w:val="20"/>
                    </w:rPr>
                    <w:t xml:space="preserve"> on pk study, murine infection models and synthetic scalability, 1599 was choosen as the preclinical candidate and 1810 as a backup candidate.</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5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Tomorrow's Therapeutics: Natural Products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2360883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Effects of olive metabolites on DNA cleavage mediated by human topoisomerase II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Kendra Vann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kendra.vann@vanderbilt.edu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Kendra Vann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Carl A. Sedgeman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Jacob Gopas</w:t>
                  </w:r>
                  <w:r w:rsidRPr="001F5B5C">
                    <w:rPr>
                      <w:rFonts w:ascii="Times New Roman" w:eastAsia="Times New Roman" w:hAnsi="Times New Roman"/>
                      <w:sz w:val="20"/>
                      <w:szCs w:val="20"/>
                      <w:vertAlign w:val="superscript"/>
                    </w:rPr>
                    <w:t>2, 3</w:t>
                  </w:r>
                  <w:r w:rsidRPr="001F5B5C">
                    <w:rPr>
                      <w:rFonts w:ascii="Times New Roman" w:eastAsia="Times New Roman" w:hAnsi="Times New Roman"/>
                      <w:sz w:val="20"/>
                      <w:szCs w:val="20"/>
                    </w:rPr>
                    <w:t>, Avi Golan-Goldhirsh</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Neil Osheroff</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Biochemistry, Vanderbilt University School of Medicine, Nashville, TN, United States. </w:t>
                  </w:r>
                  <w:r w:rsidRPr="001F5B5C">
                    <w:rPr>
                      <w:rFonts w:ascii="Times New Roman" w:eastAsia="Times New Roman" w:hAnsi="Times New Roman"/>
                      <w:sz w:val="20"/>
                      <w:szCs w:val="20"/>
                    </w:rPr>
                    <w:br/>
                    <w:t xml:space="preserve">2. Department of Microbiology, Immunology and Genetics, Ben-Gurion University of the Negev, Beer Sheva, Israel. </w:t>
                  </w:r>
                  <w:r w:rsidRPr="001F5B5C">
                    <w:rPr>
                      <w:rFonts w:ascii="Times New Roman" w:eastAsia="Times New Roman" w:hAnsi="Times New Roman"/>
                      <w:sz w:val="20"/>
                      <w:szCs w:val="20"/>
                    </w:rPr>
                    <w:br/>
                    <w:t xml:space="preserve">3. Department of Oncology, Soroka University Medical Center, Beer Sheva, Israel. </w:t>
                  </w:r>
                  <w:r w:rsidRPr="001F5B5C">
                    <w:rPr>
                      <w:rFonts w:ascii="Times New Roman" w:eastAsia="Times New Roman" w:hAnsi="Times New Roman"/>
                      <w:sz w:val="20"/>
                      <w:szCs w:val="20"/>
                    </w:rPr>
                    <w:br/>
                    <w:t xml:space="preserve">4. The Jacob Blaustein Institutes for Desert Research, French Associates Institute for Agriculture and Biotechnology of Drylands, Ben-Gurion University of the Negev, Beer Sheva, Israel.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Topoisomerase II is an essential enzyme that plays important roles in genome maintenance. To carry out its physiological functions, the enzyme generates transient double-stranded breaks in DNA. Thus, while essential to cell survival, topoisomerase II has the potential to fragment the genome. Beyond its critical cellular functions, topoisomerase II is the target for a number of widely prescribed anticancer drugs that act by increasing levels of enzyme-mediated DNA strand breaks. Many of these “topoisomerase II poisons” are derived from natural sources. Identification and characterization of topoisomerase II poisons from natural sources can provide novel drug scaffolds. Therefore, a series of water-soluble Mediterranean plants extracts were screened for activity against human topoisomerase IIα. </w:t>
                  </w:r>
                  <w:r w:rsidRPr="001F5B5C">
                    <w:rPr>
                      <w:rFonts w:ascii="Times New Roman" w:eastAsia="Times New Roman" w:hAnsi="Times New Roman"/>
                      <w:i/>
                      <w:iCs/>
                      <w:sz w:val="20"/>
                      <w:szCs w:val="20"/>
                    </w:rPr>
                    <w:t>Phillyrhea latifolia</w:t>
                  </w:r>
                  <w:r w:rsidRPr="001F5B5C">
                    <w:rPr>
                      <w:rFonts w:ascii="Times New Roman" w:eastAsia="Times New Roman" w:hAnsi="Times New Roman"/>
                      <w:sz w:val="20"/>
                      <w:szCs w:val="20"/>
                    </w:rPr>
                    <w:t xml:space="preserve"> L., a member of the olive tree family, enhanced topoisomerase IIα-mediated DNA cleavage ~7-fold. </w:t>
                  </w:r>
                  <w:r w:rsidRPr="001F5B5C">
                    <w:rPr>
                      <w:rFonts w:ascii="Times New Roman" w:eastAsia="Times New Roman" w:hAnsi="Times New Roman"/>
                      <w:i/>
                      <w:iCs/>
                      <w:sz w:val="20"/>
                      <w:szCs w:val="20"/>
                    </w:rPr>
                    <w:t xml:space="preserve">P. latifolia </w:t>
                  </w:r>
                  <w:r w:rsidRPr="001F5B5C">
                    <w:rPr>
                      <w:rFonts w:ascii="Times New Roman" w:eastAsia="Times New Roman" w:hAnsi="Times New Roman"/>
                      <w:sz w:val="20"/>
                      <w:szCs w:val="20"/>
                    </w:rPr>
                    <w:t>L. contains a number of phenolic metabolites, including oleuropein, hydroxytyrosol, tyrosol, verbascoside, and caffeic acid. These compounds are antioxidants that are associated with a number of health benefits. Oleuropein, hydroxytyrosol, and verbascoside enhanced topoisomerase IIα-mediated DNA cleavage ~4-fold. In addition, several of these compounds displayed hallmark characteristics of covalent topoisomerase poisons. First, the ability of the metabolites to poison topoisomerase II was significantly enhanced in the presence of an oxidant, but was abrogated by a reducing agent. Second, the metabolites required the N-terminal region of topoisomerase IIα to enhance DNA cleavage. Third, these metabolites inhibited topoisomerase IIα activity when incubated with the enzyme prior to the addition of DNA. Finally, phenolic olive plant metabolites retained the ability to act as topoisomerase IIα poisons in complex dietary herbal formulations such as commercial olive leaf extract and olive oil. These results strongly suggest that olive plant metabolites can act as dietary topoisomerase II poisons. Studies with these compounds may provide a platform for developing new anticancer and chemopreventative therapies.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Research Supported by Grants: GM033944, GM062459, GM08320, ICA in Israel, the Deutsche Forschungsgemeinschaft, and the Richard H. Holzer Foundation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5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Tomorrow's Therapeutics: Natural Products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2361313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Mode of action and biomarker discovery for anti-cancer natural products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Malia Potts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malia.potts@utsouthwestern.edu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Malia Potts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Elizabeth McMillan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Youcai Hu</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John MacMillan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Michael White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UT Southwestern Medical Center, Dallas, TX, United States. </w:t>
                  </w:r>
                  <w:r w:rsidRPr="001F5B5C">
                    <w:rPr>
                      <w:rFonts w:ascii="Times New Roman" w:eastAsia="Times New Roman" w:hAnsi="Times New Roman"/>
                      <w:sz w:val="20"/>
                      <w:szCs w:val="20"/>
                    </w:rPr>
                    <w:br/>
                    <w:t xml:space="preserve">2. Biochemisty 9038, University of Texas Southwestern Medical Cent, Dallas, TX, United States. </w:t>
                  </w:r>
                  <w:r w:rsidRPr="001F5B5C">
                    <w:rPr>
                      <w:rFonts w:ascii="Times New Roman" w:eastAsia="Times New Roman" w:hAnsi="Times New Roman"/>
                      <w:sz w:val="20"/>
                      <w:szCs w:val="20"/>
                    </w:rPr>
                    <w:br/>
                    <w:t xml:space="preserve">3. Peking Union Medical College, Beijing, China.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Natural products have provided a rich source of anti-cancer therapeutic leads that act through diverse modes of action. Key challenges to developing natural products for therapeutic use include incomplete understanding of anti-cancer modes of action, heterogeneity of patient responses, and toxicity. We have integrated experimental and computational methods to address these challenges, first by mapping natural products to their cellular mechanisms of action on a library-wide scale, and second by identifying biomarkers capable of predicting best responders to specific anti-cancer natural products. Within the experimental setting of human HCT116 colon cancer cells, we measured quantitative expression-based cellular responses to marine-derived natural products and to siRNA-mediated genetic perturbations. We then used unbiased similarity matrices to match similar responses, thus enabling target prediction at the pathway level. In this way, we matched several novel and known compounds to their cellular mechanisms of action. One key example is discoipyrrole A, a novel compound that targets the DDR2 collagen-sensing pathway and selectively kills lung cancer cells harboring oncogenic driver mutations in the DDR2 kinase. Another key example is the previously-studied depsipeptide didemnin B, which we found induces rapid apoptosis in sensitive cancer cells from various tissues of origin through a dual mechanism of action, targeting both the translational elongation factor EEF1A1 and the lysosomal hydrolase PPT1. We then used the elastic net machine learning algorithm to identify a multi-feature expression biomarker capable of predicting sensitivity to didemnin B and to an analog that is currently in clinical trials for oncological diseases. Improved mechanistic understanding combined with enhanced ability to predict response has the potential to improve and expand therapeutic utility of anti-cancer natural products.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Tomorrow's Therapeutics: Natural Products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2364840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Marine Alkaloid Synthesis as a Platform for Chemical and Biological Discovery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Joshua Pierce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joshuapierce6@me.com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Joshua G. Pierce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North Carolina State Univ, Raleigh,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Natural products bearing complex structures and potent biological activities have long been the target of chemical synthesis and have served as successful lead molecules for drug discovery. As part of our program centered on the synthesis and chemical biology of marine natural products we have achieved a rapid synthesis of synoxazolidinone A and structural analogs. Through these efforts we have developed not only a novel reaction for the preparation of 4-oxazolidinones, but also stereoselective routes to other heterocyclic scaffolds. Additionally, the 4-oxazolidinone core has inspired the synthesis of two classes of compounds that are active antimicrobial agents. These molecules are exciting leads for infectious disease research going forward. The story of discovery resulting from our synthetic and chemical biological efforts on marine alkaloid natural products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Tomorrow's Therapeutics: Natural Products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2368688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High Throughput Plant Phenotyping at the Plant Imaging Consortium</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Argelia Lorence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alorence@astate.edu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Argelia Lorence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Physics, Arkansas State University, State University,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Manual phenotyping requires a great deal of resources and is typically not feasible for detection of subtle plant phenotypes. Therefore, there is a growing need to develop quantitative and automated phenotyping systems to analyze large numbers of plants. Recognizing this need the Arkansas Center for Plant Powered Production (P3) acquired a Scanalyzer HTS. This instrument is equipped with visible, fluorescence, near infrared, and laser cameras allowing unbiased, non-invasive and automated screening of plant phenotypes. Additional funding from the National Science Foundation has recently allowed the establishment of the Plant Imaging Consortium (PIC, http://plantimaging.cast.uark.edu). One of the missions of PIC is to expand access to this powerful phenotyping tool to other plant scientists in the region. In order to developed and validate phenotyping protocols we have used known Arabidopsis lines with enhanced growth and tolerance to stress. After extracting information contained in the high resolution images we have acquired, a high correlation between the digital readouts measured with the LemnaGrid software (e.g. leaf area and caliper length), and the manual readouts measured for these lines (e.g. aerial dry weight) has been found. The power of the fluorescence and near infrared cameras has become evident after analyzing the response of these lines to stresses such as drought and salinity, where novel digital readouts of stress have been identified. Additional applications for detection of specialized metabolites with unique color and fluorescence properties will be discussed as well.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Tomorrow's Therapeutics: Natural Products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2369427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Development of a Comprehensive Platform for The On-Demand Synthesis of Peptide Natural Products Containing Unusual α-Amino Amides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Jeffrey Johnston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jeffrey.n.johnston@vanderbilt.edu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Jeffrey N. Johnston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Vanderbilt Univ Chem Dept,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Organic synthesis has always measured itself by how quickly and inexpensively complexity in small molecules can be obtained using established methods. Chiral molecules present unique challenges that further restrict the number of tools appropriate to achieve their total chemical synthesis. With the importance of peptides in biology and therapeutic development as a backdrop, this lecture will describe the development of Umpolung Amide Synthesis (UmAS) as a technology to enable the efficient synthesis of peptides. Recent developments in the chiral proton-catalyzed aza-Henry reaction have been leveraged to deliver an increasingly diverse group of UmAS donors to effect peptide homologation with α-aryl and α-alkyl substituted α-amino amides. Each homologation is achieved in only three steps from commercially available aldehydes. The preparation of an aryl glycine-rich peptide and a depsipeptide will illustrate the key role that enantioselective catalysis is playing to render peptide synthesis increasingly general and on-demand for peptides containing unusual α-amino amides.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Tomorrow's Therapeutics: Natural Products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2369528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Natural products inspired synthesis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Matt McIntosh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mcintosh@uark.edu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Matt C. McIntosh</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 of Arkansas, Fayetteville,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Thiamine is an essential cofactor for all living things. The mechanism of thiamine action proposed by Ronald Breslow in 1958 has inspired the invention of a wide variety of chemical transformations catalyzed by thiamine and other N-heterocyclic carbenes (NHCs). We will </w:t>
                  </w:r>
                  <w:proofErr w:type="gramStart"/>
                  <w:r w:rsidRPr="001F5B5C">
                    <w:rPr>
                      <w:rFonts w:ascii="Times New Roman" w:eastAsia="Times New Roman" w:hAnsi="Times New Roman"/>
                      <w:sz w:val="20"/>
                      <w:szCs w:val="20"/>
                    </w:rPr>
                    <w:t>described</w:t>
                  </w:r>
                  <w:proofErr w:type="gramEnd"/>
                  <w:r w:rsidRPr="001F5B5C">
                    <w:rPr>
                      <w:rFonts w:ascii="Times New Roman" w:eastAsia="Times New Roman" w:hAnsi="Times New Roman"/>
                      <w:sz w:val="20"/>
                      <w:szCs w:val="20"/>
                    </w:rPr>
                    <w:t xml:space="preserve"> mechanistically novel stoichiometric transformations of NHCs that provide biomedically relevant azoles.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2347580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Heavy metal removal from wastewater using magnetic rinsed ultra biochar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Olivia Todd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oat9@msstate.edu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Olivia A. Todd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Akila G. Karunanayake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Todd Mlnsa</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Department, Mississippi State University, Mississippi State, MS, United States. </w:t>
                  </w:r>
                  <w:r w:rsidRPr="001F5B5C">
                    <w:rPr>
                      <w:rFonts w:ascii="Times New Roman" w:eastAsia="Times New Roman" w:hAnsi="Times New Roman"/>
                      <w:sz w:val="20"/>
                      <w:szCs w:val="20"/>
                    </w:rPr>
                    <w:br/>
                    <w:t xml:space="preserve">2. Chemistry, Mississippi State University, Mississippi State,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Lead, cadmium, arsenic, and chromium are toxic heavy metals that find their way into the environment through industrial and mining waste and from energy production. Unfortunately, these metals have a tendency to bioaccumulate in the environment and are a serious concern because they can have detrimental effects on wildlife and humans at low concentrations. Therefore, it is imperative that they be removed from water. A novel method of heavy metal removal from wastewater is through the use of magnetic bio-char, which is a cheap, environmentally-friendly alternative to the traditional methods of membrane filtration, selective ion exchange, and precipitation. Magnetic bio-char was prepared by iron oxide precipitation onto the surface of commercially available Rinsed Ultra bio-char using an aqueous Fe</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/Fe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solution followed by NaOH treatment. The surface chemistry and composition of magnetic bio-char were examined by SEM, SEM-EDX, TGA, PZC, elemental analysis, and surface area measurements. For both magnetic and non-magnetic bio-char, batch sorption studies were performed at 25- 35°C, pH 2-8 and different solid to liquid ratios. Concentration of the heavy metals was determined using AAS and ICP-MS. Results show that temperature and pH exert significant effects on the ability of bio-char and magnetized bio-char to adsorb heavy metals. Additionally, the magnetic bio-char removed the heavy metals and remediated the solutions more effectively than the non-magnetic bio-char.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2350877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Investigating the antioxidant activity of sulfur/selenium compounds utilizing mass spectrometry, gel electrophoresis and polymerase chain reaction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Emily Kurfman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emily.kurfman@furman.edu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Emily A. Kurfman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Bradley S. Stadelman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Julia L. Brumaghim</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Sandra Wheeler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Wheeler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r w:rsidRPr="001F5B5C">
                    <w:rPr>
                      <w:rFonts w:ascii="Times New Roman" w:eastAsia="Times New Roman" w:hAnsi="Times New Roman"/>
                      <w:sz w:val="20"/>
                      <w:szCs w:val="20"/>
                    </w:rPr>
                    <w:br/>
                    <w:t xml:space="preserve">2. Clemson University, Clemson,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DNA damage caused by reactive oxygen species (ROS) is a known precursor to the development of cancer and other degenerative diseases. Many sulfur and selenium compounds have been found to have antioxidant properties; however, their mechanisms of action are not fully understood. In order to further elucidate the operative mechanisms in this behavior, two compounds, </w:t>
                  </w:r>
                  <w:r w:rsidRPr="001F5B5C">
                    <w:rPr>
                      <w:rFonts w:ascii="Times New Roman" w:eastAsia="Times New Roman" w:hAnsi="Times New Roman"/>
                      <w:i/>
                      <w:iCs/>
                      <w:sz w:val="20"/>
                      <w:szCs w:val="20"/>
                    </w:rPr>
                    <w:t>N</w:t>
                  </w:r>
                  <w:proofErr w:type="gramStart"/>
                  <w:r w:rsidRPr="001F5B5C">
                    <w:rPr>
                      <w:rFonts w:ascii="Times New Roman" w:eastAsia="Times New Roman" w:hAnsi="Times New Roman"/>
                      <w:i/>
                      <w:iCs/>
                      <w:sz w:val="20"/>
                      <w:szCs w:val="20"/>
                    </w:rPr>
                    <w:t>,N’</w:t>
                  </w:r>
                  <w:proofErr w:type="gramEnd"/>
                  <w:r w:rsidRPr="001F5B5C">
                    <w:rPr>
                      <w:rFonts w:ascii="Times New Roman" w:eastAsia="Times New Roman" w:hAnsi="Times New Roman"/>
                      <w:sz w:val="20"/>
                      <w:szCs w:val="20"/>
                    </w:rPr>
                    <w:t xml:space="preserve">-dimethylimidazole thione and selone (dmit and dmise) have been prepared and analyzed for their antioxidant properties. Mass spectrometry studies have been performed on </w:t>
                  </w:r>
                  <w:proofErr w:type="gramStart"/>
                  <w:r w:rsidRPr="001F5B5C">
                    <w:rPr>
                      <w:rFonts w:ascii="Times New Roman" w:eastAsia="Times New Roman" w:hAnsi="Times New Roman"/>
                      <w:sz w:val="20"/>
                      <w:szCs w:val="20"/>
                    </w:rPr>
                    <w:t>Fe(</w:t>
                  </w:r>
                  <w:proofErr w:type="gramEnd"/>
                  <w:r w:rsidRPr="001F5B5C">
                    <w:rPr>
                      <w:rFonts w:ascii="Times New Roman" w:eastAsia="Times New Roman" w:hAnsi="Times New Roman"/>
                      <w:sz w:val="20"/>
                      <w:szCs w:val="20"/>
                    </w:rPr>
                    <w:t>dmit)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and Fe(dmise)</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Cl</w:t>
                  </w:r>
                  <w:r w:rsidRPr="001F5B5C">
                    <w:rPr>
                      <w:rFonts w:ascii="Times New Roman" w:eastAsia="Times New Roman" w:hAnsi="Times New Roman"/>
                      <w:sz w:val="20"/>
                      <w:szCs w:val="20"/>
                      <w:vertAlign w:val="subscript"/>
                    </w:rPr>
                    <w:t xml:space="preserve">2 </w:t>
                  </w:r>
                  <w:r w:rsidRPr="001F5B5C">
                    <w:rPr>
                      <w:rFonts w:ascii="Times New Roman" w:eastAsia="Times New Roman" w:hAnsi="Times New Roman"/>
                      <w:sz w:val="20"/>
                      <w:szCs w:val="20"/>
                    </w:rPr>
                    <w:t>to analyze how these metal-coordinating compounds interact with intracellular, labile and radical-generating Fe(II) to inhibit DNA damage. Mass spectra show possible evidence for a sacrificial oxidation mechanism. In preparation for additional studies of the DNA antioxidant protection offered by S and Se-containing compounds, gel electrophoresis and PCR have been used with in conjunction with the natural S-containing antioxidant glutathione. Preliminary data indicates that glutathione partially protects DNA from damage by ROS and ensures that DNA is still replicated by PCR following oxidizer exposure.</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2353059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Examining the effects of urbanization on Boone Creek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Calvin Macemore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macemorecl@appstate.edu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Calvin Macemore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Carol M. Babyak</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Appalachian State University, Elkin, NC, United States. </w:t>
                  </w:r>
                  <w:r w:rsidRPr="001F5B5C">
                    <w:rPr>
                      <w:rFonts w:ascii="Times New Roman" w:eastAsia="Times New Roman" w:hAnsi="Times New Roman"/>
                      <w:sz w:val="20"/>
                      <w:szCs w:val="20"/>
                    </w:rPr>
                    <w:br/>
                    <w:t xml:space="preserve">2. Dept of Chemistry, Boone,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Boone Creek is a mountain headwater stream that drains an urbanized area in western North Carolina. Total metals, anions, and total suspended solids (TSS) were monitored monthly at six sites to determine if the stream was impacted by urbanization. ICP emission spectroscopy was used to measure the concentrations of Ca, Na, Al, and several transition metals. Four months of data indicate that the As, Cd, Cr, Cu, Ni, Pb, and Se concentrations were below the detection limit at all sites. The Al, Fe, Mn, and Zn concentrations increased at the downstream sites, which are more urbanized than upstream, but all concentrations were less than 0.588 ppm (n=3, SD=0.007) except in the case of a rain event when the highest concentration reached 3.07 ppm (n=3, SD=0.02). Anion concentrations (Cl</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w:t>
                  </w:r>
                  <w:proofErr w:type="gramStart"/>
                  <w:r w:rsidRPr="001F5B5C">
                    <w:rPr>
                      <w:rFonts w:ascii="Times New Roman" w:eastAsia="Times New Roman" w:hAnsi="Times New Roman"/>
                      <w:sz w:val="20"/>
                      <w:szCs w:val="20"/>
                    </w:rPr>
                    <w:t>SO</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vertAlign w:val="superscript"/>
                    </w:rPr>
                    <w:t>2</w:t>
                  </w:r>
                  <w:proofErr w:type="gramEnd"/>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also increased at the downstream sites, but were diluted below the confluence of a tributary. Nitrate and sulfate concentrations ranged from 2-9 ppm for all sites. Chloride concentrations depended on weather conditions due to road salt with the high being 331.4 ppm (n=3, SD=3.4) in January, 2015. A direct correlation between the concentrations of Cl</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and Na was observed for all six sites (R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 0.972). TSS results were relatively low throughout all six sites (&lt; 3 mg/L).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2356535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Effects of cigarette butts on coastal waters: An elemental analysis of seawater from St. Simon’s Island Beach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Katherine Adorati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rvm779@mocs.utc.edu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Katherine Adorati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Gretchen E. Potts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#2252, The University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Improperly discarded cigarette litter can have damaging effects on the environment. Within seawater, trace elements that are present in the cigarettes could leach into the ocean having damaging effects on the marine ecosystem. The goal of this research is to investigate if contaminants leached from cigarette litter, specifically focusing on differences in elemental concentrations, are significant in samples of seawater collected near St. Simon’s Island at both high and low tides. This project also explores a gallium coprecipitation methodology for elemental isolation in order to determine the chemistry behind why gallium is beneficial in the precipitation process. Samples of seawater were mixed with a gallium standard, and the </w:t>
                  </w:r>
                  <w:proofErr w:type="gramStart"/>
                  <w:r w:rsidRPr="001F5B5C">
                    <w:rPr>
                      <w:rFonts w:ascii="Times New Roman" w:eastAsia="Times New Roman" w:hAnsi="Times New Roman"/>
                      <w:sz w:val="20"/>
                      <w:szCs w:val="20"/>
                    </w:rPr>
                    <w:t>pH of the solutions were</w:t>
                  </w:r>
                  <w:proofErr w:type="gramEnd"/>
                  <w:r w:rsidRPr="001F5B5C">
                    <w:rPr>
                      <w:rFonts w:ascii="Times New Roman" w:eastAsia="Times New Roman" w:hAnsi="Times New Roman"/>
                      <w:sz w:val="20"/>
                      <w:szCs w:val="20"/>
                    </w:rPr>
                    <w:t xml:space="preserve"> increased to 10 with sodium hydroxide. The precipitates that formed were filtered, collected, and re-dissolved with concentrated nitric acid. The concentrated samples were then diluted for elemental analysis by inductively coupled plasma optical emission spectrometry (ICP-OES). The different elemental concentrations that were gathered underwent independent sample t-test to determine if a significant difference in the samples collected was present. Results of the ICP-OES analysis will be presented along with the statistical comparisons and a discussion of the gallium coprecipitation method.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2358165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Sulfide induced dispacement of gold nanoparticle ligands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Allen LaCour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ral191@msstate.edu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Allen LaCour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H.A.Ganganath S. Perera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Dongmao Zhang</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Hand Lab, Mississippi State University, Mississippi State,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Today gold nanoparticles are finding many applications in fields such as drug delivery, catalysis, and surface-enhanced Raman spectroscopy (SERS) substrates. Most of these applications come from functionalizing the gold nanoparticles with thiols and other sulfur based ligands. Therefore the need to understand sulfide’s interaction with gold nanoparticles is important. In this work, sulfide’s ability to replace aromatic thiols, dithiols, monothiols, and adenine on the surface of the gold nanoparticle is shown. UV-vis spectroscopy and SERS are used to study the kinetics of this reaction and its dependence on the concentration of sulfide. In addition, the sulfide’s ability to stabilize gold nanoparticle solutions and induce the redispersion of gold nanoparticle aggregates is explored. This work is important for understanding the fundamental aspects of gold nanoparticle interaction with sulfur compounds.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6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2360922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ACUTE TOXICITY OF FA-GLU, SURFACTIN, AND SURFACTIN ISOMERS, MICROBIAL BASED BIOSURFACTANTS, ON LARVAL GULF KILLIFISH </w:t>
                  </w:r>
                  <w:r w:rsidRPr="001F5B5C">
                    <w:rPr>
                      <w:rFonts w:ascii="Times New Roman" w:eastAsia="Times New Roman" w:hAnsi="Times New Roman"/>
                      <w:i/>
                      <w:iCs/>
                      <w:sz w:val="20"/>
                      <w:szCs w:val="20"/>
                    </w:rPr>
                    <w:t>Fundulus grandis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Heidi Olivier | Reid Nuss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holivi5@tigers.lsu.edu | rnuss1@lsu.edu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Heidi Olivier</w:t>
                  </w:r>
                  <w:r w:rsidRPr="001F5B5C">
                    <w:rPr>
                      <w:rFonts w:ascii="Times New Roman" w:eastAsia="Times New Roman" w:hAnsi="Times New Roman"/>
                      <w:sz w:val="20"/>
                      <w:szCs w:val="20"/>
                      <w:vertAlign w:val="superscript"/>
                    </w:rPr>
                    <w:t>1, 3</w:t>
                  </w:r>
                  <w:r w:rsidRPr="001F5B5C">
                    <w:rPr>
                      <w:rFonts w:ascii="Times New Roman" w:eastAsia="Times New Roman" w:hAnsi="Times New Roman"/>
                      <w:sz w:val="20"/>
                      <w:szCs w:val="20"/>
                    </w:rPr>
                    <w:t>, Reid Nuss</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Aquaculture Research Station, Louisiana State University, Lafayette, LA, United States. </w:t>
                  </w:r>
                  <w:r w:rsidRPr="001F5B5C">
                    <w:rPr>
                      <w:rFonts w:ascii="Times New Roman" w:eastAsia="Times New Roman" w:hAnsi="Times New Roman"/>
                      <w:sz w:val="20"/>
                      <w:szCs w:val="20"/>
                    </w:rPr>
                    <w:br/>
                    <w:t xml:space="preserve">2. Coastal Environmental Science, Louisiana State University, Baton Rouge, LA, United States. </w:t>
                  </w:r>
                  <w:r w:rsidRPr="001F5B5C">
                    <w:rPr>
                      <w:rFonts w:ascii="Times New Roman" w:eastAsia="Times New Roman" w:hAnsi="Times New Roman"/>
                      <w:sz w:val="20"/>
                      <w:szCs w:val="20"/>
                    </w:rPr>
                    <w:br/>
                    <w:t xml:space="preserve">3. Chemistry, Louisiana State University, Baton Rouge,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Gulf killifish, </w:t>
                  </w:r>
                  <w:r w:rsidRPr="001F5B5C">
                    <w:rPr>
                      <w:rFonts w:ascii="Times New Roman" w:eastAsia="Times New Roman" w:hAnsi="Times New Roman"/>
                      <w:i/>
                      <w:iCs/>
                      <w:sz w:val="20"/>
                      <w:szCs w:val="20"/>
                    </w:rPr>
                    <w:t>Fundulus grandis</w:t>
                  </w:r>
                  <w:r w:rsidRPr="001F5B5C">
                    <w:rPr>
                      <w:rFonts w:ascii="Times New Roman" w:eastAsia="Times New Roman" w:hAnsi="Times New Roman"/>
                      <w:sz w:val="20"/>
                      <w:szCs w:val="20"/>
                    </w:rPr>
                    <w:t>, is an abundant estuarine fish found throughout the northern Gulf of Mexico. Surfactants are chemical dispersants and were used widely following the Deepwater Horizon oil spill in April of 2010 for cleanup and remediation within open waters. Dispersants break up surface oil droplets and can cause oil compounds to enter the water column increasing bioavailability and thus have the potential to increase the toxicity of oil to aquatic organisms.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The objectives of this study were to assess the toxicity of FA-Glu and surfactin as potential alternative biosurfactants, which are produced by </w:t>
                  </w:r>
                  <w:r w:rsidRPr="001F5B5C">
                    <w:rPr>
                      <w:rFonts w:ascii="Times New Roman" w:eastAsia="Times New Roman" w:hAnsi="Times New Roman"/>
                      <w:i/>
                      <w:iCs/>
                      <w:sz w:val="20"/>
                      <w:szCs w:val="20"/>
                    </w:rPr>
                    <w:t xml:space="preserve">Bacillus subtillis </w:t>
                  </w:r>
                  <w:r w:rsidRPr="001F5B5C">
                    <w:rPr>
                      <w:rFonts w:ascii="Times New Roman" w:eastAsia="Times New Roman" w:hAnsi="Times New Roman"/>
                      <w:sz w:val="20"/>
                      <w:szCs w:val="20"/>
                    </w:rPr>
                    <w:t>bacterium. We conducted acute toxicity bioassays on recently hatched larvae that were exposed to FA-Glu or Surfactin to create dose-response curves for these compounds. Median lethal concentration (LC</w:t>
                  </w:r>
                  <w:r w:rsidRPr="001F5B5C">
                    <w:rPr>
                      <w:rFonts w:ascii="Times New Roman" w:eastAsia="Times New Roman" w:hAnsi="Times New Roman"/>
                      <w:sz w:val="20"/>
                      <w:szCs w:val="20"/>
                      <w:vertAlign w:val="subscript"/>
                    </w:rPr>
                    <w:t>50</w:t>
                  </w:r>
                  <w:r w:rsidRPr="001F5B5C">
                    <w:rPr>
                      <w:rFonts w:ascii="Times New Roman" w:eastAsia="Times New Roman" w:hAnsi="Times New Roman"/>
                      <w:sz w:val="20"/>
                      <w:szCs w:val="20"/>
                    </w:rPr>
                    <w:t>) curves were created in order to determine the maximum concentration these fish could live in from 96-hour acute exposures. Acute toxicity of FA-Glu was conducted at treatment salinities of 4, 12, and 24 g/L. Three distinct isomers of surfactin were isolated from microbe cultures and thus we were able to determine the comparative acute toxicity of these isolates at an environmental salinity of 12 g/L. Water quality parameters were monitored throughout the study to ensure that conditions were within the acceptable range for this species.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Acute toxicity of FA-Glu was influenced by salinity, with increased salinity (24 g/L) resulting in lower LC50 values for these 96-hour bioassays. These results are consistent with previous examinations of industrially produced surfactants such as dioctyl sodium sulfosuccinate which alter ion regulation at the gill epithelium. Surfactin and its isomers have higher toxicity than FA-</w:t>
                  </w:r>
                  <w:proofErr w:type="gramStart"/>
                  <w:r w:rsidRPr="001F5B5C">
                    <w:rPr>
                      <w:rFonts w:ascii="Times New Roman" w:eastAsia="Times New Roman" w:hAnsi="Times New Roman"/>
                      <w:sz w:val="20"/>
                      <w:szCs w:val="20"/>
                    </w:rPr>
                    <w:t>Glu,</w:t>
                  </w:r>
                  <w:proofErr w:type="gramEnd"/>
                  <w:r w:rsidRPr="001F5B5C">
                    <w:rPr>
                      <w:rFonts w:ascii="Times New Roman" w:eastAsia="Times New Roman" w:hAnsi="Times New Roman"/>
                      <w:sz w:val="20"/>
                      <w:szCs w:val="20"/>
                    </w:rPr>
                    <w:t xml:space="preserve"> however the surfactin isomers are individually less toxic than non-fractionated surfactin (Table 1). These results represent some of the first toxicological information on estuarine aquatic organisms for these biologically produced surfactant compounds.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2361124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br/>
                  </w:r>
                  <w:r w:rsidRPr="001F5B5C">
                    <w:rPr>
                      <w:rFonts w:ascii="Times New Roman" w:eastAsia="Times New Roman" w:hAnsi="Times New Roman"/>
                      <w:b/>
                      <w:bCs/>
                      <w:sz w:val="20"/>
                      <w:szCs w:val="20"/>
                    </w:rPr>
                    <w:t>Optimizing the ionization suppression effects of Cs on accurate ICP-OES determination of Li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Kianna Jimenez | John Dogbe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kajimenez@bulldogs.barton.edu | jdogbe@gmail.com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Kianna Jimenez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K. Dogbe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Barton College, Wilson,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Periodic trends of the alkali earth metals reveal that they are generally easy to ionize. The trend also shows that as one goes down the group, the ease of ionization increases. The overall ease of ionization among the alkali earth metals made it relatively difficult to adequately quantify them using inductively coupled plasma (ICP). This ionization occurs when the atom goes beyond the excitation point as energy is added, releasing the furthest electron in the s-block configuration. Inductively coupled plasma depending on configuration may produce enough energy to cause ionization. This makes it difficult to accurately quantify most alkali earth metals of interest (Li, Na, and K) using ICP-OES due to their ease of ionization. In this study Cs is explored as ionization suppressant, to prevent the analytes of interest from ionizing. Different concentrations of the suppressants ranging from 1.0 - 7.0 ppm were added to standard concentrations of Li, Na, and K. The results for Li and preliminary results for Na and K will be presented. Li being technologically important element among the first three alkali earth metals, the primary aim of the study is to determine an optimized scheme for accurately quantifying it. The presence of Cs reduces the energy of the plasma available, but enough to cause excitation of Li. Consequently, the amount of Li in the sample is not lost to ionization and is therefore more accurately determined.</w:t>
                  </w:r>
                  <w:r w:rsidRPr="001F5B5C">
                    <w:rPr>
                      <w:rFonts w:ascii="Times New Roman" w:eastAsia="Times New Roman" w:hAnsi="Times New Roman"/>
                      <w:sz w:val="20"/>
                      <w:szCs w:val="20"/>
                    </w:rPr>
                    <w:br/>
                    <w:t>To demonstrate the effectiveness of Cs as the appropriate ionization suppressant for Li, Na, and K, the results for the use of Sc and Y as ionization suppressants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2362839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Elemental Analysis of Raw and Refined Samples of Vegetable Oil and Biodiesel Using Inductively Coupled Plasma – Optical Emission Spectroscopy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Lindsay Preston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prestonlt@appstate.edu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Lindsay Preston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Carol M. Babyak</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Appalachian State University, Boone, NC, United States. </w:t>
                  </w:r>
                  <w:r w:rsidRPr="001F5B5C">
                    <w:rPr>
                      <w:rFonts w:ascii="Times New Roman" w:eastAsia="Times New Roman" w:hAnsi="Times New Roman"/>
                      <w:sz w:val="20"/>
                      <w:szCs w:val="20"/>
                    </w:rPr>
                    <w:br/>
                    <w:t xml:space="preserve">2. Dept of Chemistry, Boone,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use of vegetable oils as substitutes for fossil fuels is growing in popularity among the automotive industry. However, the oils require physical and chemical refinement through a process called transesterification, which converts them to the renewable fuel known as </w:t>
                  </w:r>
                  <w:r w:rsidRPr="001F5B5C">
                    <w:rPr>
                      <w:rFonts w:ascii="Times New Roman" w:eastAsia="Times New Roman" w:hAnsi="Times New Roman"/>
                      <w:i/>
                      <w:iCs/>
                      <w:sz w:val="20"/>
                      <w:szCs w:val="20"/>
                    </w:rPr>
                    <w:t>biodiesel</w:t>
                  </w:r>
                  <w:r w:rsidRPr="001F5B5C">
                    <w:rPr>
                      <w:rFonts w:ascii="Times New Roman" w:eastAsia="Times New Roman" w:hAnsi="Times New Roman"/>
                      <w:sz w:val="20"/>
                      <w:szCs w:val="20"/>
                    </w:rPr>
                    <w:t xml:space="preserve">. Elemental concentrations in biodiesel must meet ASTM D6751 specifications in order to avoid engine fouling and minimize emissions. A method has been developed to quantify calcium, magnesium, and phosphorus concentrations in raw and refined samples of vegetable oil and biodiesel using inductively coupled plasma-optical emission spectroscopy (ICP-OES). Oxygen was added to the plasma using an auxiliary gas module (AGM) to prevent soot deposition on the torch due to high loading of volatile organic solvents. The ICP-OES operating conditions for organic analysis were optimized to yield the highest signal-to-background ratios. For samples with low concentrations, operating conditions were adjusted to facilitate the introduction of more organics to the plasma without causing plasma instability. A certified biodiesel sample with known concentrations of calcium, magnesium, and phosphorus was analyzed and percent recoveries ranged from 54-114% (n = 5). Measured concentrations were generally lower than certified values, possibly because of analyte degradation or poor method sensitivity. Two samples (raw soybean oil and biodiesel) were analyzed and were found to have higher concentrations than those reported by an outside laboratory, indicating possible spectral or matrix interferences in the proposed method. Percent recoveries of a laboratory-fortified blank (LFB) ranged from 84-134% (n = 9). Method detection limits (MDLs) were determined by measurement of historical blanks and were 1.2 μg/g, </w:t>
                  </w:r>
                  <w:proofErr w:type="gramStart"/>
                  <w:r w:rsidRPr="001F5B5C">
                    <w:rPr>
                      <w:rFonts w:ascii="Times New Roman" w:eastAsia="Times New Roman" w:hAnsi="Times New Roman"/>
                      <w:sz w:val="20"/>
                      <w:szCs w:val="20"/>
                    </w:rPr>
                    <w:t>0.4 μg/g,</w:t>
                  </w:r>
                  <w:proofErr w:type="gramEnd"/>
                  <w:r w:rsidRPr="001F5B5C">
                    <w:rPr>
                      <w:rFonts w:ascii="Times New Roman" w:eastAsia="Times New Roman" w:hAnsi="Times New Roman"/>
                      <w:sz w:val="20"/>
                      <w:szCs w:val="20"/>
                    </w:rPr>
                    <w:t xml:space="preserve"> and 2.1 μg/g for calcium, magnesium, and phosphorus, respectively. Uncertainties varied, but were generally low (less than 6%). The majority of biodiesel samples were found to be below MDLs. Further research will be conducted to improve the proposed method regarding its sensitivity and reproducibility. Standards and samples will be matrix-matched using base oil in order to minimize matrix interferences. The method will also be expanded to analyze sodium and potassium, elements that are commonly found in high abundances in biodiesel and are known to have deleterious effects on the engine in which the biodiesel is used.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2364569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Extraction and Analysis of Xylitol in Sugar Free Gum: A “Green” Laboratory Experiment for Chemistry Students</w:t>
                  </w:r>
                  <w:r w:rsidRPr="001F5B5C">
                    <w:rPr>
                      <w:rFonts w:ascii="Times New Roman" w:eastAsia="Times New Roman" w:hAnsi="Times New Roman"/>
                      <w:sz w:val="20"/>
                      <w:szCs w:val="20"/>
                    </w:rPr>
                    <w:br/>
                  </w:r>
                  <w:r w:rsidRPr="001F5B5C">
                    <w:rPr>
                      <w:rFonts w:ascii="Times New Roman" w:eastAsia="Times New Roman" w:hAnsi="Times New Roman"/>
                      <w:b/>
                      <w:bCs/>
                      <w:sz w:val="20"/>
                      <w:szCs w:val="20"/>
                    </w:rPr>
                    <w:t>Suranga M. Rajapaksha, John C. Brown, Todd Mlsna and Deb Mlsna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John Brown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jcb764@msstate.edu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John C. Brown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(Analytical), Mississippi State </w:t>
                  </w:r>
                  <w:proofErr w:type="gramStart"/>
                  <w:r w:rsidRPr="001F5B5C">
                    <w:rPr>
                      <w:rFonts w:ascii="Times New Roman" w:eastAsia="Times New Roman" w:hAnsi="Times New Roman"/>
                      <w:sz w:val="20"/>
                      <w:szCs w:val="20"/>
                    </w:rPr>
                    <w:t>University ,</w:t>
                  </w:r>
                  <w:proofErr w:type="gramEnd"/>
                  <w:r w:rsidRPr="001F5B5C">
                    <w:rPr>
                      <w:rFonts w:ascii="Times New Roman" w:eastAsia="Times New Roman" w:hAnsi="Times New Roman"/>
                      <w:sz w:val="20"/>
                      <w:szCs w:val="20"/>
                    </w:rPr>
                    <w:t xml:space="preserve"> Florence,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Xylitol is a popular sweetener in many sugar-free products such as chewing gum, mints, oral-care products, and baked goods. Xylitol is generally considered safe for human consumption. Unfortunately, this polyol has been discovered to be toxic for canines. Recently, our research group has developed a method to extract and analyze xylitol in sugar-free gum sticks. We developed this extraction method with several modifications in order to incorporate it as an experiment procedure in a teaching laboratory for chemistry students that can be performed within a three hour time frame. The amount of xylitol in a gum extraction was determined by gas chromatography with a mass detector (GC/MS) by direct aqueous injection. Several groups of students were exposed to the new experiment and each group was successfully able to perform the experiment within the three hour time frame.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2366849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br/>
                  </w:r>
                  <w:r w:rsidRPr="001F5B5C">
                    <w:rPr>
                      <w:rFonts w:ascii="Times New Roman" w:eastAsia="Times New Roman" w:hAnsi="Times New Roman"/>
                      <w:b/>
                      <w:bCs/>
                      <w:sz w:val="20"/>
                      <w:szCs w:val="20"/>
                    </w:rPr>
                    <w:t>Quantitative HPLC analysis of n-(n-butyl) thiophosphoric triamide (NBPT) using UV detection.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Brandon Skinner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bmskinner@bulldogs.barton.edu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John K. Dogbe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Brandon Skinner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Garnett Whitehurst</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Barton College, Wilson, NC, United States. </w:t>
                  </w:r>
                  <w:r w:rsidRPr="001F5B5C">
                    <w:rPr>
                      <w:rFonts w:ascii="Times New Roman" w:eastAsia="Times New Roman" w:hAnsi="Times New Roman"/>
                      <w:sz w:val="20"/>
                      <w:szCs w:val="20"/>
                    </w:rPr>
                    <w:br/>
                    <w:t xml:space="preserve">2. Brooks Whitehurst Associates Inc, New Bern,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Urea is commonly used nitrogen fertilizer, but it is notorious for Potential for high volatile nitrogen losses. Significant losses of nitrogen to the atmosphere occur in the form of ammonia as urea is converted to ammonia gas by action of soil bacteria. In order to solve this problem, NBPT has gained the popularity as urease inhibitor to enhance the efficiency of nitrogen utilization. NBPT treated urea fertilizers contains the nitrogen needed to fertilize plants, and it is designed to reduce the amount of nitrogen loss, eliminating the need for the fertilizer to be applied multiple times. In order to put NBPT on the market, an effective method must be developed to determine the precise amount of NBPT in solutions used to treat urea fertilizers. The purpose of this research project was to develop a simple and routine analytical method to quantify the amount of NBPT in any given solution using a high performance liquid chromatograph (HPLC). Previous studies have demonstrated the problems associated with quantifying NBPT in the UV range when the concentration is about 0.01 mM. Also, it is not feasible to quantify NBPT by GC analysis because it is thermally unstable. In the scheme developed, several samples of NBPT solution were analyzed using the standard addition method. A known amount of NBPT solution was added to each sample to determine the amount of NBPT in each sample. The method targets accurate determination of the amount of NBPT sold on the consumer market. The analytical and instrumental methods developed as well as results of the research project will be discussed in this presentation.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2366870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Direct Aminoglycoside Coated Gold Nanoparticles Synthesis, Characterization and Antibacterial Susceptibility Testing</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Sarah Tockstein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sarah.tockstein892@topper.wku.edu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Sarah Tockstein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Jason Payne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Rajalingam Dakshinamurthy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Western Kentucky University, Hardinsburg, KY,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With soaring increase in the cases of multi-drug resistant (MDR) bacteria all over the world, we are on the verge of entering post-antibiotic era if no immediate action is taken against this global crisis. As an alternative route to modify current commercial antibiotics, we made an attempt to design an effective antibacterial agent involving gold nanoparticles (AuNPs) capped with an antibiotic, like those of the aminoglycoside drug family. The aminoglycoside family is characterized as the traditional Gram-negative antibacterial therapeutic agents that inhibit protein synthesis and contain as a portion of the molecule an amino-modified glycoside. Due to recent emergence of infections due to Gram-negative bacterial strains with advanced patterns of antimicrobial resistance bactericidal agents such as these are being view as a prime candidate for further development and augmentation. Unlike conventional methods, unique self-patented green process was used for AuNPs synthesis wherein the aminoglycoside assists in both reducing and stabilizing the AuNPs resulting in aminoglycoside conjugated gold nanoparticles (Amg-AuNPs) which were morphologically characterized using transmission electron microscope (TEM), UV-Vis spectroscopy, scanning electron microscopy/energy-dispersive X-ray spectroscopy (SEM-EDS), and dynamic light scattering (DLS). The presence of ligand (gentamicin) onto AuNPs was confirmed using TGA analysis. Antibacterial efficiency was evaluated on Gram-positive and Gram-negative bacterial strains using bacterial growth and spread plate assay. AuNPs activity was further confirmed with propidium iodide assay. Super-thin sections of bacteria treated with Amg-AuNPs observed under TEM showed bactericidal activity by causing perforations and disturbing the cellular environment leading to cell lysis and cell death. The minimum inhibitory </w:t>
                  </w:r>
                  <w:proofErr w:type="gramStart"/>
                  <w:r w:rsidRPr="001F5B5C">
                    <w:rPr>
                      <w:rFonts w:ascii="Times New Roman" w:eastAsia="Times New Roman" w:hAnsi="Times New Roman"/>
                      <w:sz w:val="20"/>
                      <w:szCs w:val="20"/>
                    </w:rPr>
                    <w:t>concentrations (MIC) of Amg-AuNPs was</w:t>
                  </w:r>
                  <w:proofErr w:type="gramEnd"/>
                  <w:r w:rsidRPr="001F5B5C">
                    <w:rPr>
                      <w:rFonts w:ascii="Times New Roman" w:eastAsia="Times New Roman" w:hAnsi="Times New Roman"/>
                      <w:sz w:val="20"/>
                      <w:szCs w:val="20"/>
                    </w:rPr>
                    <w:t xml:space="preserve"> significantly less when compared to pure aminogylcosidic drugs which proves the synergistic activity of Amg-AuNPs.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2367925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Determination of mVOCs for distinguishing virulent from hypo-virulent </w:t>
                  </w:r>
                  <w:r w:rsidRPr="001F5B5C">
                    <w:rPr>
                      <w:rFonts w:ascii="Times New Roman" w:eastAsia="Times New Roman" w:hAnsi="Times New Roman"/>
                      <w:i/>
                      <w:iCs/>
                      <w:sz w:val="20"/>
                      <w:szCs w:val="20"/>
                    </w:rPr>
                    <w:t xml:space="preserve">Cryphonectria parasitica </w:t>
                  </w:r>
                  <w:r w:rsidRPr="001F5B5C">
                    <w:rPr>
                      <w:rFonts w:ascii="Times New Roman" w:eastAsia="Times New Roman" w:hAnsi="Times New Roman"/>
                      <w:sz w:val="20"/>
                      <w:szCs w:val="20"/>
                    </w:rPr>
                    <w:t>via Headspace-SPME-GC-MS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Mary King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mek213@msstate.edu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Mary King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Jinyan She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Mississippi State University, Starkville,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In the early 1900s, the fungus </w:t>
                  </w:r>
                  <w:r w:rsidRPr="001F5B5C">
                    <w:rPr>
                      <w:rFonts w:ascii="Times New Roman" w:eastAsia="Times New Roman" w:hAnsi="Times New Roman"/>
                      <w:i/>
                      <w:iCs/>
                      <w:sz w:val="20"/>
                      <w:szCs w:val="20"/>
                    </w:rPr>
                    <w:t>Cryphonectria parasitica</w:t>
                  </w:r>
                  <w:r w:rsidRPr="001F5B5C">
                    <w:rPr>
                      <w:rFonts w:ascii="Times New Roman" w:eastAsia="Times New Roman" w:hAnsi="Times New Roman"/>
                      <w:sz w:val="20"/>
                      <w:szCs w:val="20"/>
                    </w:rPr>
                    <w:t xml:space="preserve"> was accidentally introduced into the eastern United States and virtually eliminated the American chestnut (</w:t>
                  </w:r>
                  <w:r w:rsidRPr="001F5B5C">
                    <w:rPr>
                      <w:rFonts w:ascii="Times New Roman" w:eastAsia="Times New Roman" w:hAnsi="Times New Roman"/>
                      <w:i/>
                      <w:iCs/>
                      <w:sz w:val="20"/>
                      <w:szCs w:val="20"/>
                    </w:rPr>
                    <w:t>Castanea dentata</w:t>
                  </w:r>
                  <w:r w:rsidRPr="001F5B5C">
                    <w:rPr>
                      <w:rFonts w:ascii="Times New Roman" w:eastAsia="Times New Roman" w:hAnsi="Times New Roman"/>
                      <w:sz w:val="20"/>
                      <w:szCs w:val="20"/>
                    </w:rPr>
                    <w:t>) by 1940 throughout the specie’s entire range. Natural control occurred in Europe on the European chestnut (</w:t>
                  </w:r>
                  <w:r w:rsidRPr="001F5B5C">
                    <w:rPr>
                      <w:rFonts w:ascii="Times New Roman" w:eastAsia="Times New Roman" w:hAnsi="Times New Roman"/>
                      <w:i/>
                      <w:iCs/>
                      <w:sz w:val="20"/>
                      <w:szCs w:val="20"/>
                    </w:rPr>
                    <w:t>Castanea sativa</w:t>
                  </w:r>
                  <w:r w:rsidRPr="001F5B5C">
                    <w:rPr>
                      <w:rFonts w:ascii="Times New Roman" w:eastAsia="Times New Roman" w:hAnsi="Times New Roman"/>
                      <w:sz w:val="20"/>
                      <w:szCs w:val="20"/>
                    </w:rPr>
                    <w:t>) when debilitated virus-infected strains of pathogen, hypovirulent (HV) isolates, were found which convert the lethal virulent (V) forms into HV’s. However, determination of HV strains requires intensive laboratory screening and must be confirmed by field studies. The main objective of this study is to utilize a cost/time effective method of identifying the key chemical emissions that distinguish V from HV fungal isolates. Recently, microbial volatile organic compounds (mVOCs) were collected via headspace solid phase extraction (HS-SPME) with an 85 µm carboxen/polydimethylsiloxane (CAR/PDMS) fiber coupled with gas chromatography-mass spectrometry (GC-MS). Additional studies have been conducted exploring how varying temperature and growth media alters the MVOC profile. Data pattern recognition was achieved by utilizing chemometrics.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2367957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and validation of HPLC-MS methods for the quantification of eumelanin and pheomelanin pigments in tissue samples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Leandra Nikont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lnikont@elon.edu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Leandra M. Nikont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Keely Glass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Elon University, Lakewood, CO,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Quantitative melanin analysis is an important tool for scientific studies ranging from the examination of skin pigment abnormalities to the identification of pigmentation in ancient feathers. Two forms of melanin are present in animals – eumelanin and pheomelanin. Current techniques to quantify melanin entail chemical degradation of the pigment into markers specific to each natural form. These chemical markers are then separated and quantified by high performance liquid chromatography with ultraviolet detection (HPLC-UV). While this characterization has proved useful, in biological matrices there are interferences that complicate UV identification of the critical markers. To overcome these limitations, we have developed a new method for identifying the markers of eumelanin and pheomelanin that is compatible with UV and mass spectrometric detection. The non-volatile buffer conditions that prevented the use of mass spectrometric detection and decreased the lifetime of expensive columns have been replaced with a compatible volatile solvent system. Due to the interferences present in biological matrices, mass spectrometric detection is vital for confident peak identification. This new method allows for sensitive and accurate identification of melanin markers, which may benefit future diagnostic methods and the examination of historical pigmentation patterns.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2368162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Hydrodeoxygenation (HDO) of guaiacol and furfural using a Cu based water gas shift and Mo.Ni.K catalyst system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Morgan Crowley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mlc497@msstate.edu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Morgan Crowley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Akila G. Karunanayake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Rangana T. Wijayapala</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Todd E. Mlsna</w:t>
                  </w:r>
                  <w:r w:rsidRPr="001F5B5C">
                    <w:rPr>
                      <w:rFonts w:ascii="Times New Roman" w:eastAsia="Times New Roman" w:hAnsi="Times New Roman"/>
                      <w:sz w:val="20"/>
                      <w:szCs w:val="20"/>
                      <w:vertAlign w:val="superscript"/>
                    </w:rPr>
                    <w:t>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Mississippi State University, Starkville, MS, United States. </w:t>
                  </w:r>
                  <w:r w:rsidRPr="001F5B5C">
                    <w:rPr>
                      <w:rFonts w:ascii="Times New Roman" w:eastAsia="Times New Roman" w:hAnsi="Times New Roman"/>
                      <w:sz w:val="20"/>
                      <w:szCs w:val="20"/>
                    </w:rPr>
                    <w:br/>
                    <w:t xml:space="preserve">2. Chemistry Department, Mississippi State University, Mississippi State, MS, United States. </w:t>
                  </w:r>
                  <w:r w:rsidRPr="001F5B5C">
                    <w:rPr>
                      <w:rFonts w:ascii="Times New Roman" w:eastAsia="Times New Roman" w:hAnsi="Times New Roman"/>
                      <w:sz w:val="20"/>
                      <w:szCs w:val="20"/>
                    </w:rPr>
                    <w:br/>
                    <w:t xml:space="preserve">3. Chemistry, Mississippi State University, Starkville, MS, United States. </w:t>
                  </w:r>
                  <w:r w:rsidRPr="001F5B5C">
                    <w:rPr>
                      <w:rFonts w:ascii="Times New Roman" w:eastAsia="Times New Roman" w:hAnsi="Times New Roman"/>
                      <w:sz w:val="20"/>
                      <w:szCs w:val="20"/>
                    </w:rPr>
                    <w:br/>
                    <w:t xml:space="preserve">4. Chemistry, Mississippi State University, Starkville,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Development of alternative sources of renewable energy is an important focus in labs around the world. Due to the depletion of fuel reserves, alternative fuel sources are needed. Bio-oil has been recognized as an alternative source for this problem. Bio-oils contain a complex mixture of oxygenated compounds, which lead to low fuel quality. Upgrading bio-oil using Hydrodeoxygenation (HDO) is one solution to overcome this problem. In this study, guaiacol and furfural have been used as the model compounds. These oxygenated compounds are present in significant quantities in bio-oil</w:t>
                  </w:r>
                  <w:r w:rsidRPr="001F5B5C">
                    <w:rPr>
                      <w:rFonts w:ascii="Times New Roman" w:eastAsia="Times New Roman" w:hAnsi="Times New Roman"/>
                      <w:b/>
                      <w:bCs/>
                      <w:sz w:val="20"/>
                      <w:szCs w:val="20"/>
                    </w:rPr>
                    <w:t xml:space="preserve">. </w:t>
                  </w:r>
                  <w:r w:rsidRPr="001F5B5C">
                    <w:rPr>
                      <w:rFonts w:ascii="Times New Roman" w:eastAsia="Times New Roman" w:hAnsi="Times New Roman"/>
                      <w:sz w:val="20"/>
                      <w:szCs w:val="20"/>
                    </w:rPr>
                    <w:t>A study of the upgrading of bio oil using the HDO process with a Cu based water gas shift and Mo/Ni/K catalyst system has been completed. Reactions were carried out in a batch reactor using two syngas mixtures: 50/50 syngas and bio-syngas. The reactions were kept at temperatures of 250 and 300 °C for 4 hours. Gas and liquid products were analyzed using GC/MS and catalyst characterizations were determined using AAS, BET, &amp; SEM. Results show that temperature and catalyst both exert significant effects on conversion and product selectivity.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2368528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Characterizing structure-function relationships in bisurea organogelators using infrared spectroscopy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Karla McCain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kmccain@austincollege.edu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Heliang Gao</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Andrew J. Carr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Karla S. McCain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Austin Coll, Sherman, TX, United States. </w:t>
                  </w:r>
                  <w:r w:rsidRPr="001F5B5C">
                    <w:rPr>
                      <w:rFonts w:ascii="Times New Roman" w:eastAsia="Times New Roman" w:hAnsi="Times New Roman"/>
                      <w:sz w:val="20"/>
                      <w:szCs w:val="20"/>
                    </w:rPr>
                    <w:br/>
                    <w:t xml:space="preserve">2. Austin College, Sherman,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Transmission infrared spectroscopy was introduced for characterizing the structure-function relationships in bisurea organogelators. Organogelators were classified into 2 major categories: those with a core based on vanillin and had varying lengths of carbon tails and those with C18 tails containing a cis double bond and without it. Organogels were prepared by dissolving the gelators in benzene using heat and stirring. The lowest concentration that led to the formation of a rigid gel was defined as the critical concentration and was determined by inverting the vial after the samples were given time to cool. A demountable liquid cell with sodium chloride windows was used to acquire transmission IR spectra. The degree of hydrogen bonding can be determined by examining the amide II band and the relative number of conformational defects in the tail groups can be determined by examining the methylene bending region. While strong hydrogen bonding is required for gelation, it is not sufficient on its own. The entanglement of the tails of the molecules is also necessary to form the strong junction zones between fibers that give the organogel rigidity. The organogelators with the vanillin core do this through forming conformational defects in their alkyl tails. The organogelator with a cis double also helps with the entanglement of the tail groups, leading to lower critical concentrations.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7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2330665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Residue analysis of archaeological smoking pipes from the southeastern US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Ryan Hunt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hunrk-17@rhodes.edu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Ryan K. Hunt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Julio Alejandro Lima Hooven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Stephen B. Carmody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Jon Russ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Rhodes College, Memphis, TN, United States. </w:t>
                  </w:r>
                  <w:r w:rsidRPr="001F5B5C">
                    <w:rPr>
                      <w:rFonts w:ascii="Times New Roman" w:eastAsia="Times New Roman" w:hAnsi="Times New Roman"/>
                      <w:sz w:val="20"/>
                      <w:szCs w:val="20"/>
                    </w:rPr>
                    <w:br/>
                    <w:t xml:space="preserve">2. Anthropology, University of the South, Sewanee,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Chemical analyses of organic residues from smoking pipes excavated from archaeological sites in the southeastern United States provide insight into ritualistic smoking traditions of indigenous peoples. This study examined residues scraped from pipes and pipe sherds in collections at the Fernbank Museum of Natural History in Atlanta, Georgia, and the McClung Museum of Natural History and Culture in Knoxville, Tennessee. One of the primary goals was to determine whether nicotine was present in the residue, thereby expanding our knowledge of when and where tobacco was first used in the southeast. For the analyses, residues were extracted by ultrasonicating the samples in methanol/chloroform. An aliquot of the extracts were analyzed directly using GC-MS and GC-FID; another aliquot was derivatized using BSFTA with 1% TMCS and also analyzed using GC-MS and GC-FID. While nicotine was present in only two of the residues studied, the results suggest a complex and diverse tradition in which smoking pipes were used to smoke a wide array of natural materials.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2345546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organic residues from native American noded vessels using GC-MS and GC-FID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Julio Alejandro Lima Hooven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limja-16@rhodes.edu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Julio Alejandro Lima Hooven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Ryan K. Hunt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H. Dye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Jon Russ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Rhodes College, Memphis, TN, United States. </w:t>
                  </w:r>
                  <w:r w:rsidRPr="001F5B5C">
                    <w:rPr>
                      <w:rFonts w:ascii="Times New Roman" w:eastAsia="Times New Roman" w:hAnsi="Times New Roman"/>
                      <w:sz w:val="20"/>
                      <w:szCs w:val="20"/>
                    </w:rPr>
                    <w:br/>
                    <w:t xml:space="preserve">2. Earth Sciences, University of Memphis,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Analysis of organic residues in ceramic vessels from archaeological excavations have the potential to identify the substances Native Americans stored in pots of various shapes, sizes and designs. In this study we analyzed residues extracted from noded ceramic pots, a particular type of vessel that has unique designs covering the outer surface of the vessels. It was recently proposed that noded pots were used specifically to process </w:t>
                  </w:r>
                  <w:r w:rsidRPr="001F5B5C">
                    <w:rPr>
                      <w:rFonts w:ascii="Times New Roman" w:eastAsia="Times New Roman" w:hAnsi="Times New Roman"/>
                      <w:i/>
                      <w:iCs/>
                      <w:sz w:val="20"/>
                      <w:szCs w:val="20"/>
                    </w:rPr>
                    <w:t>datura</w:t>
                  </w:r>
                  <w:r w:rsidRPr="001F5B5C">
                    <w:rPr>
                      <w:rFonts w:ascii="Times New Roman" w:eastAsia="Times New Roman" w:hAnsi="Times New Roman"/>
                      <w:sz w:val="20"/>
                      <w:szCs w:val="20"/>
                    </w:rPr>
                    <w:t xml:space="preserve"> for religious ceremonies. </w:t>
                  </w:r>
                  <w:r w:rsidRPr="001F5B5C">
                    <w:rPr>
                      <w:rFonts w:ascii="Times New Roman" w:eastAsia="Times New Roman" w:hAnsi="Times New Roman"/>
                      <w:i/>
                      <w:iCs/>
                      <w:sz w:val="20"/>
                      <w:szCs w:val="20"/>
                    </w:rPr>
                    <w:t>Datura</w:t>
                  </w:r>
                  <w:r w:rsidRPr="001F5B5C">
                    <w:rPr>
                      <w:rFonts w:ascii="Times New Roman" w:eastAsia="Times New Roman" w:hAnsi="Times New Roman"/>
                      <w:sz w:val="20"/>
                      <w:szCs w:val="20"/>
                    </w:rPr>
                    <w:t xml:space="preserve"> contains various tropane alkaloids that have pharmacological properties, but also makes the plant extremely dangerous if ingested. In this preliminary study, two pots were analyzed non-destructively by ultrasonicating the whole pots directly in a methanol</w:t>
                  </w:r>
                  <w:proofErr w:type="gramStart"/>
                  <w:r w:rsidRPr="001F5B5C">
                    <w:rPr>
                      <w:rFonts w:ascii="Times New Roman" w:eastAsia="Times New Roman" w:hAnsi="Times New Roman"/>
                      <w:sz w:val="20"/>
                      <w:szCs w:val="20"/>
                    </w:rPr>
                    <w:t>:chloroform</w:t>
                  </w:r>
                  <w:proofErr w:type="gramEnd"/>
                  <w:r w:rsidRPr="001F5B5C">
                    <w:rPr>
                      <w:rFonts w:ascii="Times New Roman" w:eastAsia="Times New Roman" w:hAnsi="Times New Roman"/>
                      <w:sz w:val="20"/>
                      <w:szCs w:val="20"/>
                    </w:rPr>
                    <w:t xml:space="preserve"> solvent mixture. The volume of the extracts were reduced under vacuum using a rotary evaporator, and the extracts were derivatized using BSFTA with 1% TMCS before analysis using gas chromatography/mass spectrometry (GC/MS) and gas chromatography with flame ionization detection (GC-FID). One compound of particular interest was atropine, which could indicate storage of jimson weed (</w:t>
                  </w:r>
                  <w:r w:rsidRPr="001F5B5C">
                    <w:rPr>
                      <w:rFonts w:ascii="Times New Roman" w:eastAsia="Times New Roman" w:hAnsi="Times New Roman"/>
                      <w:i/>
                      <w:iCs/>
                      <w:sz w:val="20"/>
                      <w:szCs w:val="20"/>
                    </w:rPr>
                    <w:t>Datura stramonium</w:t>
                  </w:r>
                  <w:r w:rsidRPr="001F5B5C">
                    <w:rPr>
                      <w:rFonts w:ascii="Times New Roman" w:eastAsia="Times New Roman" w:hAnsi="Times New Roman"/>
                      <w:sz w:val="20"/>
                      <w:szCs w:val="20"/>
                    </w:rPr>
                    <w:t>), and standards of this compound were used to determine the instrument LOD and MDL. Our results indicate that atropine was below the detection limit but other alkaloids were present.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2349855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Neurotransmitter quantification to understand alcohol tolerance in non-mammalian organisms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Matthew Stodghill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mstodghill13@gmail.com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Matthew H. Stodghill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Cameron D. Hallman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Nicholas J. Kuklinski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Model organisms are often used in place of humans to study the effects of alcohol upon the brain. </w:t>
                  </w:r>
                  <w:r w:rsidRPr="001F5B5C">
                    <w:rPr>
                      <w:rFonts w:ascii="Times New Roman" w:eastAsia="Times New Roman" w:hAnsi="Times New Roman"/>
                      <w:i/>
                      <w:iCs/>
                      <w:sz w:val="20"/>
                      <w:szCs w:val="20"/>
                    </w:rPr>
                    <w:t>Drosophila melanogaster</w:t>
                  </w:r>
                  <w:r w:rsidRPr="001F5B5C">
                    <w:rPr>
                      <w:rFonts w:ascii="Times New Roman" w:eastAsia="Times New Roman" w:hAnsi="Times New Roman"/>
                      <w:sz w:val="20"/>
                      <w:szCs w:val="20"/>
                    </w:rPr>
                    <w:t xml:space="preserve"> and other non-mammalian organisms utilize many of the same neurotransmitters as humans. Here we investigated the effects of alcohol on behavior in </w:t>
                  </w:r>
                  <w:r w:rsidRPr="001F5B5C">
                    <w:rPr>
                      <w:rFonts w:ascii="Times New Roman" w:eastAsia="Times New Roman" w:hAnsi="Times New Roman"/>
                      <w:i/>
                      <w:iCs/>
                      <w:sz w:val="20"/>
                      <w:szCs w:val="20"/>
                    </w:rPr>
                    <w:t>Drosophila</w:t>
                  </w:r>
                  <w:r w:rsidRPr="001F5B5C">
                    <w:rPr>
                      <w:rFonts w:ascii="Times New Roman" w:eastAsia="Times New Roman" w:hAnsi="Times New Roman"/>
                      <w:sz w:val="20"/>
                      <w:szCs w:val="20"/>
                    </w:rPr>
                    <w:t xml:space="preserve"> and developed separation methods to measure the changes in neurotransmitter concentrations using high performance liquid chromatography with electrochemical detection. As alcohol volume increases flies become sedated faster in single alcohol exposures, while in exposures to alcohol data (five day exposures) flies experienced increased in sedation time indicating increased exposure. Brains were then dissected from flies, homogenized, and separated to compare the effectiveness of separation methods. The procedures and methods established from studying </w:t>
                  </w:r>
                  <w:r w:rsidRPr="001F5B5C">
                    <w:rPr>
                      <w:rFonts w:ascii="Times New Roman" w:eastAsia="Times New Roman" w:hAnsi="Times New Roman"/>
                      <w:i/>
                      <w:iCs/>
                      <w:sz w:val="20"/>
                      <w:szCs w:val="20"/>
                    </w:rPr>
                    <w:t xml:space="preserve">Drosophila </w:t>
                  </w:r>
                  <w:r w:rsidRPr="001F5B5C">
                    <w:rPr>
                      <w:rFonts w:ascii="Times New Roman" w:eastAsia="Times New Roman" w:hAnsi="Times New Roman"/>
                      <w:sz w:val="20"/>
                      <w:szCs w:val="20"/>
                    </w:rPr>
                    <w:t xml:space="preserve">will aid in preparation for the introduction of other model organisms </w:t>
                  </w:r>
                  <w:r w:rsidRPr="001F5B5C">
                    <w:rPr>
                      <w:rFonts w:ascii="Times New Roman" w:eastAsia="Times New Roman" w:hAnsi="Times New Roman"/>
                      <w:i/>
                      <w:iCs/>
                      <w:sz w:val="20"/>
                      <w:szCs w:val="20"/>
                    </w:rPr>
                    <w:t>Danio rerio</w:t>
                  </w:r>
                  <w:r w:rsidRPr="001F5B5C">
                    <w:rPr>
                      <w:rFonts w:ascii="Times New Roman" w:eastAsia="Times New Roman" w:hAnsi="Times New Roman"/>
                      <w:sz w:val="20"/>
                      <w:szCs w:val="20"/>
                    </w:rPr>
                    <w:t xml:space="preserve"> (zebra fish) and </w:t>
                  </w:r>
                  <w:r w:rsidRPr="001F5B5C">
                    <w:rPr>
                      <w:rFonts w:ascii="Times New Roman" w:eastAsia="Times New Roman" w:hAnsi="Times New Roman"/>
                      <w:i/>
                      <w:iCs/>
                      <w:sz w:val="20"/>
                      <w:szCs w:val="20"/>
                    </w:rPr>
                    <w:t xml:space="preserve">Tribolium castaneum </w:t>
                  </w:r>
                  <w:r w:rsidRPr="001F5B5C">
                    <w:rPr>
                      <w:rFonts w:ascii="Times New Roman" w:eastAsia="Times New Roman" w:hAnsi="Times New Roman"/>
                      <w:sz w:val="20"/>
                      <w:szCs w:val="20"/>
                    </w:rPr>
                    <w:t>(flour beetles)and ultimately a better understanding on how the brain changes when under the effects of drugs of abuse.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2350031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Preliminary analysis of the molecular distribution of polyhexamethylene biguanide using equilibrium dialysis and gel filtration chromatography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Hazel Davis | Radhika Pandya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hazel.davis@furman.edu | radhika.pandya@furman.edu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Hazel C. Davis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Radhika J. Pandya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Frederic D. David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Sandra Wheeler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Wheeler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recent years, bacteria have become increasingly resistant to traditional antibiotics, necessitating the development and characterization of new compounds with biocidal activity for a broad range of personal care products. Among biocides currently in use is polyhexamethylene biguanide (PHMB), a polycationic and polydisperse ingredient found in multipurpose contact lens solution (MPS) and other anti-bacterial solutions. Previously in our lab, we have utilized ultra-performance liquid chromatography (UPLC) and mass spectrometry (MS) to collect fractions of PHMB and determine if there is a correlation between elution time and molecular weight size. In order to better investigate the molecular distribution of this polymer, we have employed a variety of techniques including equilibrium dialysis and gel filtration chromatography (GFC). Using a wide variety of molecular weight pore sizes in equilibrium dialysis we are able to better understand the molecular weight cut offs in comparison with the chromatogram patterns acquired from UPLC. In addition, preliminary GFC results combined with equilibrium dialysis have allowed for an understanding of separation based on molecular weights. In the future we hope to better characterize the structure and activity of these polymer particles in solution, and work to determine if certain molecular weight sizes are more efficient against bacteria.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2350235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Synthesis and characterization of </w:t>
                  </w:r>
                  <w:r w:rsidRPr="001F5B5C">
                    <w:rPr>
                      <w:rFonts w:ascii="Times New Roman" w:eastAsia="Times New Roman" w:hAnsi="Times New Roman"/>
                      <w:i/>
                      <w:iCs/>
                      <w:sz w:val="20"/>
                      <w:szCs w:val="20"/>
                    </w:rPr>
                    <w:t>cis-</w:t>
                  </w:r>
                  <w:r w:rsidRPr="001F5B5C">
                    <w:rPr>
                      <w:rFonts w:ascii="Times New Roman" w:eastAsia="Times New Roman" w:hAnsi="Times New Roman"/>
                      <w:sz w:val="20"/>
                      <w:szCs w:val="20"/>
                    </w:rPr>
                    <w:t>[Cr(TMP)(DPPZ)(1-MeImid)]</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Ian McCraw</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imccraw@furman.edu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Ian Y. McCraw</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Samuel R. Goudy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Jessica A. Wheeler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Christopher D. Stachurski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Katherine W. Sun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Marian E. Davis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Sandra Wheeler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Wheeler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Noel A. Kane-Maguire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r w:rsidRPr="001F5B5C">
                    <w:rPr>
                      <w:rFonts w:ascii="Times New Roman" w:eastAsia="Times New Roman" w:hAnsi="Times New Roman"/>
                      <w:sz w:val="20"/>
                      <w:szCs w:val="20"/>
                    </w:rPr>
                    <w:br/>
                    <w:t xml:space="preserve">2.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Our lab group has previously shown that octahedral </w:t>
                  </w:r>
                  <w:proofErr w:type="gramStart"/>
                  <w:r w:rsidRPr="001F5B5C">
                    <w:rPr>
                      <w:rFonts w:ascii="Times New Roman" w:eastAsia="Times New Roman" w:hAnsi="Times New Roman"/>
                      <w:sz w:val="20"/>
                      <w:szCs w:val="20"/>
                    </w:rPr>
                    <w:t>chromium(</w:t>
                  </w:r>
                  <w:proofErr w:type="gramEnd"/>
                  <w:r w:rsidRPr="001F5B5C">
                    <w:rPr>
                      <w:rFonts w:ascii="Times New Roman" w:eastAsia="Times New Roman" w:hAnsi="Times New Roman"/>
                      <w:sz w:val="20"/>
                      <w:szCs w:val="20"/>
                    </w:rPr>
                    <w:t>III) tris(diimine) complexes of the type [Cr(diimine)</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(DPPZ)]</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xml:space="preserve"> non-covalently bind very strongly to DNA due to intercalation by the dipyridophenazine (DPPZ) ligand. These complexes are capable of DNA photo-oxidation, and as a result may have potential applications in the area of photodynamic cancer therapy. In the present study one of the bidentate diimine ligands has been replaced by two monodentate 1-methylimidazole ligands (1-MeImid). This substitution opens up the possibility of an additional DNA binding mode involving direct covalent binding between </w:t>
                  </w:r>
                  <w:proofErr w:type="gramStart"/>
                  <w:r w:rsidRPr="001F5B5C">
                    <w:rPr>
                      <w:rFonts w:ascii="Times New Roman" w:eastAsia="Times New Roman" w:hAnsi="Times New Roman"/>
                      <w:sz w:val="20"/>
                      <w:szCs w:val="20"/>
                    </w:rPr>
                    <w:t>Cr(</w:t>
                  </w:r>
                  <w:proofErr w:type="gramEnd"/>
                  <w:r w:rsidRPr="001F5B5C">
                    <w:rPr>
                      <w:rFonts w:ascii="Times New Roman" w:eastAsia="Times New Roman" w:hAnsi="Times New Roman"/>
                      <w:sz w:val="20"/>
                      <w:szCs w:val="20"/>
                    </w:rPr>
                    <w:t>III) and a DNA nucleobase. Such systems may therefore exhibit DNA binding characteristics somewhat similar to the widely prescribed antitumor agent cisplatin. The target complex, [</w:t>
                  </w:r>
                  <w:proofErr w:type="gramStart"/>
                  <w:r w:rsidRPr="001F5B5C">
                    <w:rPr>
                      <w:rFonts w:ascii="Times New Roman" w:eastAsia="Times New Roman" w:hAnsi="Times New Roman"/>
                      <w:sz w:val="20"/>
                      <w:szCs w:val="20"/>
                    </w:rPr>
                    <w:t>Cr(</w:t>
                  </w:r>
                  <w:proofErr w:type="gramEnd"/>
                  <w:r w:rsidRPr="001F5B5C">
                    <w:rPr>
                      <w:rFonts w:ascii="Times New Roman" w:eastAsia="Times New Roman" w:hAnsi="Times New Roman"/>
                      <w:sz w:val="20"/>
                      <w:szCs w:val="20"/>
                    </w:rPr>
                    <w:t>TMP)(DPPZ)(1-MeImid)</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was synthesized in a 5-step process where the DPPZ ligand was attached first and the 3,4,7,8–tetramethyl–1,10–phenanthroline and 1-MeImid ligands were attached in subsequent steps. The purity of the isolated complex was established via elemental analysis, electrospray mass spectroscopy, and capillary electrophoresis studies. The interaction of the complex with DNA was then investigated using a variety of analytical techniques. Isothermal titration calorimetry with CT-DNA was used to determine enthalpic and entropic values as well as to estimate the DNA binding constant. Subsequently spectrophotometric titration was used to confirm the K values determined from isothermal titration calorimetry. Additionally, the binding affinity relative to other compounds as well as enantiomeric specificity was determined via equilibrium dialysis studies in conjunction with UV-vis and circular dichroism spectroscopy.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2350250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Optimization of an analytical method to determine the KCN antidote (SDX) in blood by HPLC</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Brooke Mendenhall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bam051@shsu.edu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Brooke A. Mendenhall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Secondra Holmes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James Ross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Reny J. Roy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Janna Lowry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Sarah Crews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Elexis Stephens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Ching-En Chou</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Lorand Kiss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E. Thompson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Ilona Petrikovics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Sam Houston State University, Huntsville,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Cyanide (CN) is a poison that prevents cells from utilizing oxygen by blocking the mitochondrial respiration chain. The present therapies in the US are the Cyanokit and the Nithiodote, but each of them has disadvantages. There is a need to find a novel CN antidote with a better profile. A potential candidate being developed in our lab is the sulfur donor X (SDX).Our aim was to develop a detection method for SDX from blood that could be used for future pharmacokinetic studies. An HPLC was used and the SDX was measured with a UV detector at 215 nm. Sample preparation and HPLC instrument methods were optimized. Different organic solvents (ethanol, methanol, and acetonitrile) were added to facilitate the partitioning of the SDX into the supernatant following centrifugation of the blood sample. Cold acetonitrile yielded the best SDX recovery and the smallest inter sample standard deviation. The effect of sodium chloride addition and sonication to blood samples were also tested, but they did not measurably improve the SDX recovery. Different mobile phases were applied to find the best elution and of those tested a blend of 65% acetonitrile and 35% water was found to yield by best isolation of the SDX peak. Dissimilar liquid injection volumes (10-50 µl) were tested to the column, which showed 40 µl as the preeminent injection volume. A calibration curve was prepared with a best-fit line that showed an 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 0.9984 and a limit of detection = 0.725 µg/ml. Validation is ongoing. This method shows promise for future pharmacokinetic studies.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The study was funded by the Robert A. Welch Foundation at Sam Houston State University (x-0011) and the USAMRICD (Contract No.W911NF-11-D-0001).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2350882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Determining purity of ginkgo biloba extract in the presence of non-native flavonol aglycones and isoflavone glycosides using HPLC and mass spectral analysis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John Cordoba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2jcordoba@gmail.com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John J. Cordoba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Kurt A. Young</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Sandra Wheeler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Wheeler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r w:rsidRPr="001F5B5C">
                    <w:rPr>
                      <w:rFonts w:ascii="Times New Roman" w:eastAsia="Times New Roman" w:hAnsi="Times New Roman"/>
                      <w:sz w:val="20"/>
                      <w:szCs w:val="20"/>
                    </w:rPr>
                    <w:br/>
                    <w:t xml:space="preserve">2. Nutra Manufacturing,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Standardized Ginkgo biloba leaf extract has long seen use as an herbal remedy and dietary supplement, for treatment and prevention of various conditions including cognitive impairment, venal insufficiency and tinnitus. As with many herbal medicines and nutraceutical formulations, ensuring the purity for Ginkgo products can be a difficult task, and opportunities exist for adulteration with components or extracts from other plant sources for various purposes including economic advantage. In addition to testing for terpene lactones (ginkgolides and bilobalide) content, current methods of analysis for Gingko biloba product quality measure the total flavonol glycoside content extrapolated from the content of the three main aglycone (free) flavonols (quercetin, kaempferol and isorhamnetin) after hydrolysis. By testing for the presence of added aglycone flavonols before hydrolysis, as well as for compounds from potential adulterants not native to Gingko (e.g., the isoflavones genistein, genistin, and sophoricoside), we developed a reliable indicator for the purity of commercial samples. Using High Performance Liquid Chromatography (HPLC) combined with both UV and mass spectral (MS) </w:t>
                  </w:r>
                  <w:proofErr w:type="gramStart"/>
                  <w:r w:rsidRPr="001F5B5C">
                    <w:rPr>
                      <w:rFonts w:ascii="Times New Roman" w:eastAsia="Times New Roman" w:hAnsi="Times New Roman"/>
                      <w:sz w:val="20"/>
                      <w:szCs w:val="20"/>
                    </w:rPr>
                    <w:t>detection,</w:t>
                  </w:r>
                  <w:proofErr w:type="gramEnd"/>
                  <w:r w:rsidRPr="001F5B5C">
                    <w:rPr>
                      <w:rFonts w:ascii="Times New Roman" w:eastAsia="Times New Roman" w:hAnsi="Times New Roman"/>
                      <w:sz w:val="20"/>
                      <w:szCs w:val="20"/>
                    </w:rPr>
                    <w:t xml:space="preserve"> we separated and quantified flavonols and isoflavone in both authentic and adulterated Ginkgo biloba samples in a blind assay format. Samples with isoflavones present, and/or containing free flavonols prior to hydrolysis, were consistent with previously reported adulteration with other materials, including extracts of Sophora japonica. It is noteworthy that extracts from the fruit of this plant have been strategically selected as an adulterant because of its high content of the main Ginkgo flavonol aglycones, kaempferol and quercetin, which may be added to </w:t>
                  </w:r>
                  <w:proofErr w:type="gramStart"/>
                  <w:r w:rsidRPr="001F5B5C">
                    <w:rPr>
                      <w:rFonts w:ascii="Times New Roman" w:eastAsia="Times New Roman" w:hAnsi="Times New Roman"/>
                      <w:sz w:val="20"/>
                      <w:szCs w:val="20"/>
                    </w:rPr>
                    <w:t>diluted</w:t>
                  </w:r>
                  <w:proofErr w:type="gramEnd"/>
                  <w:r w:rsidRPr="001F5B5C">
                    <w:rPr>
                      <w:rFonts w:ascii="Times New Roman" w:eastAsia="Times New Roman" w:hAnsi="Times New Roman"/>
                      <w:sz w:val="20"/>
                      <w:szCs w:val="20"/>
                    </w:rPr>
                    <w:t xml:space="preserve"> Ginkgo extract to boost the total flavonol content.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2351492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a potassium ferrocyanide based pyrotechnic material as forensic evidence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Ethan Miller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ethan.millerirl@gmail.com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Ethan Miller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Lashaundra Fambro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Christopher R. Dockery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Kennesaw State University, Kennesaw, GA, United States. </w:t>
                  </w:r>
                  <w:r w:rsidRPr="001F5B5C">
                    <w:rPr>
                      <w:rFonts w:ascii="Times New Roman" w:eastAsia="Times New Roman" w:hAnsi="Times New Roman"/>
                      <w:sz w:val="20"/>
                      <w:szCs w:val="20"/>
                    </w:rPr>
                    <w:br/>
                    <w:t xml:space="preserve">2. Berry College, Mt. Berry,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Potassuim ferrocyanide has historical use in pyrotechnic materials and has potential to be used as an ingredient in the emerging market of lead-free small caliber firearm ammunition. Elemental profiling of the ferrocyanide based combustion reaction products by laser-induced breakdown spectroscopy (LIBS) and scanning electron microscopy/energy-dispersive x-ray spectroscopy (SEM-EDX) establish emission lines as analytical markers for potential forensic applications. Data shows that the iron and potassium emission lines are statistically significant markers for potassium ferrocyanide based lead-free ammunition simulations. Rates of error associated with each simulation were determined by leave-one-out cross validation and show promising results in the ability to identify individuals who have been exposed to ferrocyanide based pyrotechnic materials.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2351601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Reaction kinetics of low molecular weight carboxylic acids with carbonate aerosols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 xml:space="preserve">Kristiana Watson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kristian.watson@smail.astate.edu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 xml:space="preserve">Kristiana Watson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Bryant Fong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Hashim M. Ali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Arkansas State University, Jonesboro,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Low molecular weight carboxylic acids like formic acid, acetic acid and glutaric acids are ubiquitous in the atmosphere. Theyare found in aqueous and gas phases environments as well as in aerosol particles and are thought to play </w:t>
                  </w:r>
                  <w:proofErr w:type="gramStart"/>
                  <w:r w:rsidRPr="001F5B5C">
                    <w:rPr>
                      <w:rFonts w:ascii="Times New Roman" w:eastAsia="Times New Roman" w:hAnsi="Times New Roman"/>
                      <w:sz w:val="20"/>
                      <w:szCs w:val="20"/>
                    </w:rPr>
                    <w:t>an</w:t>
                  </w:r>
                  <w:proofErr w:type="gramEnd"/>
                  <w:r w:rsidRPr="001F5B5C">
                    <w:rPr>
                      <w:rFonts w:ascii="Times New Roman" w:eastAsia="Times New Roman" w:hAnsi="Times New Roman"/>
                      <w:sz w:val="20"/>
                      <w:szCs w:val="20"/>
                    </w:rPr>
                    <w:t xml:space="preserve"> significant role in controlling the acidity of the aerosol environment. The mechanisms and reactions of these acids with basic aerosols like carbonates, and how they influence acidty/basicity of atmospheric aerosols have not been studied as closely. This study investigates the reaction of these low molecular weight carboxylic acids with sodium carbonate and using gas chromatorgraphy and infra red spectroscopy. Preliminary results show an abundance of gases being produced, with IR spectra indicating the presence of carbon dioxide, possibly from the decomposition of the acids.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2351808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Manufacturing of anticancer drug fluorouracil loaded polycaprolactone nanoparticles using emulsion solvent evaporation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Anna Timberlake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anna.timberlake@newberry.edu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Anna L. Timberlake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Mujibur Khan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Sakib Iqbal</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Maxwell Friel</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Newberry College, Newberry, SC, United States. </w:t>
                  </w:r>
                  <w:r w:rsidRPr="001F5B5C">
                    <w:rPr>
                      <w:rFonts w:ascii="Times New Roman" w:eastAsia="Times New Roman" w:hAnsi="Times New Roman"/>
                      <w:sz w:val="20"/>
                      <w:szCs w:val="20"/>
                    </w:rPr>
                    <w:br/>
                    <w:t xml:space="preserve">2. Department of Mechanical Engineering, Georgia Southern University, Statesboro,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Anti-cancer drug (5-Fluorouracil, 98% [FU]) loaded, Polycaprolactone (PCL) (MW 80,000) based nanospheres were manufactured through a novel double emulsion solvent evaporation method and correlation between solution, processing parameters and nanoparticles’ morphology was investigated. Four samples (two single and two double emulsions) were produced. All samples were produced using a 0.5% (by wt. %) PCL (avg. mw 80,000) into Dichloromethane (DCM) solution as the polymer solution. Both of the double emulsion samples used a 0.5% FU into Deionized water mixture as the aqueous solution. All samples were stabilized by a 1% polyvinyl alcohol (PVA) into Deionized water solution. Scanning electron microscopy (SEM) was used to determine the morphology of all obtained nanoparticles which showed that through the single emulsion technique, nanoparticles of approximately 400 nm in diameter were produced with few oblong formations. The results of both of double emulsion samples also showed that nanoparticles formed. One sample produced rigid dispersed spheres of approximately 500 nm while the other sample produced smoother less dispersed spheres of approximately 300 nm. Energy Dispersive X-ray Spectroscopy (EDS) showed no presence of drug on the outside of nanoparticles. Transmission Electron Microscopy (TEM), drug release tests will be performed to determine encapsulation efficiency and drug release characteristics of nanoparticles.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8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2353215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HPLC UV-Vis and MS analysis of endocrine-active compounds in the symbiotic relationship between algae and sea anemones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Kiersten Rule | Nicholas Kuklinski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kiersten.rule@furman.edu | nick.kuklinski@furman.edu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Kiersten N. Rule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Alison M. Roark</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Maura B. Drewry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Nicholas J. Kuklinski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Greenville, SC, United States. </w:t>
                  </w:r>
                  <w:r w:rsidRPr="001F5B5C">
                    <w:rPr>
                      <w:rFonts w:ascii="Times New Roman" w:eastAsia="Times New Roman" w:hAnsi="Times New Roman"/>
                      <w:sz w:val="20"/>
                      <w:szCs w:val="20"/>
                    </w:rPr>
                    <w:br/>
                    <w:t xml:space="preserve">2. Biology,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i/>
                      <w:iCs/>
                      <w:sz w:val="20"/>
                      <w:szCs w:val="20"/>
                    </w:rPr>
                    <w:t>Aiptasia pallida</w:t>
                  </w:r>
                  <w:r w:rsidRPr="001F5B5C">
                    <w:rPr>
                      <w:rFonts w:ascii="Times New Roman" w:eastAsia="Times New Roman" w:hAnsi="Times New Roman"/>
                      <w:sz w:val="20"/>
                      <w:szCs w:val="20"/>
                    </w:rPr>
                    <w:t>, the pale sea anemone, form symbioses with intracellular photosynthetic algae. It is assumed that this symbiosis primarily offers food to the host. However, anemones maintained in the dark have been found to lack functional gonads. We hypothesized that symbiotic algae may produce compounds that modulate the reproductive performance of their hosts. Phytoestrogens such as isoflavones are known to affect reproduction of marine organisms, and symbiotic algae may be capable of producing these endocrine-active chemicals. A method using high performance liquid chromatography with UV-Vis detection was developed to measure these endocrine-active chemicals, and three isoflavones, diadzein, genistein, and biochanin A, were identified as potential candidates from sea-water samples containing anemones grown with and without algae. Separations were developed from a 0.1 % formic acid/acetonitrile gradient method previously used to measure isoflavones in waste water samples. The separation system was then adapted for use with high performance liquid chromatography with mass spectrometry to attempt to confirm whether diadzein, genistein, and biochanin A were indeed present in anemone water samples.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2353301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Method development for the determination of isoflavones in </w:t>
                  </w:r>
                  <w:r w:rsidRPr="001F5B5C">
                    <w:rPr>
                      <w:rFonts w:ascii="Times New Roman" w:eastAsia="Times New Roman" w:hAnsi="Times New Roman"/>
                      <w:i/>
                      <w:iCs/>
                      <w:sz w:val="20"/>
                      <w:szCs w:val="20"/>
                    </w:rPr>
                    <w:t>Aiptasia pallida</w:t>
                  </w:r>
                  <w:r w:rsidRPr="001F5B5C">
                    <w:rPr>
                      <w:rFonts w:ascii="Times New Roman" w:eastAsia="Times New Roman" w:hAnsi="Times New Roman"/>
                      <w:sz w:val="20"/>
                      <w:szCs w:val="20"/>
                    </w:rPr>
                    <w:t xml:space="preserve"> using SPE and GC-MS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Maura Drewry | Nicholas Kuklinski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maura.drewry@furman.edu | nick.kuklinski@furman.edu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Maura B. Drewry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Kiersten N. Rule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Alison M. Roark</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Nicholas J. Kuklinski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Greenville, SC, United States. </w:t>
                  </w:r>
                  <w:r w:rsidRPr="001F5B5C">
                    <w:rPr>
                      <w:rFonts w:ascii="Times New Roman" w:eastAsia="Times New Roman" w:hAnsi="Times New Roman"/>
                      <w:sz w:val="20"/>
                      <w:szCs w:val="20"/>
                    </w:rPr>
                    <w:br/>
                    <w:t xml:space="preserve">2. Biology,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pale sea anemone, </w:t>
                  </w:r>
                  <w:r w:rsidRPr="001F5B5C">
                    <w:rPr>
                      <w:rFonts w:ascii="Times New Roman" w:eastAsia="Times New Roman" w:hAnsi="Times New Roman"/>
                      <w:i/>
                      <w:iCs/>
                      <w:sz w:val="20"/>
                      <w:szCs w:val="20"/>
                    </w:rPr>
                    <w:t>Aiptasia pallida,</w:t>
                  </w:r>
                  <w:r w:rsidRPr="001F5B5C">
                    <w:rPr>
                      <w:rFonts w:ascii="Times New Roman" w:eastAsia="Times New Roman" w:hAnsi="Times New Roman"/>
                      <w:sz w:val="20"/>
                      <w:szCs w:val="20"/>
                    </w:rPr>
                    <w:t xml:space="preserve"> is a powerful model system to study symbiosis due to its ability to survive both with and without its intercellular algae. Typically symbiotic algae provide energy to their hosts, converting light in to usable sugar, while the anemone provides protection for their symbiont. Algae might also play a larger role in the anemone's reproductive cycle. Anemones reproduce both sexually and asexually. Preliminary evidence shows anemones that have had their algae removed fail to develop gonads and are capable of only reproducing asexually. Free-living microalgae produce bioactive compounds including alkaloids, saponins, and flavonoids, many of which are nuclear receptor agonists potentially making them capable of interacting with estrogenic receptors. These species might be used by algal symbionts in sea anemones to produce the observed reproductive changes. Using solid phase extraction (SPE) of water samples used to grow anemones with and without algae, GC-MS was used to investigate what species are released these by intracellular algae and the role algae play in the anemones' reproduction system.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2353317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Characterization of citrate-acetate mobile phases for high performance liquid chromatography with electrochemical detection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Jack Obermeier | Nicholas Kuklinski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jack.obermeier@furman.edu | nick.kuklinski@furman.edu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Jack R. Obermeier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Cameron D. Hallman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Nicholas J. Kuklinski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Non-mammalian model systems offer significant advantages to the neurochemist - small sizes, relatively short life cycles, ease of molecular and genetic manipulation, and similar molecular make-ups to humans. For example dopamine, serotonin, and estrogen which are present in the mammalian central and peripheral nervous systems, also function as neuromodulators in non-mammalian model systems and mediate the same physiological functions. Some differences do exist however. Insect systems contain octopamine and tyramine which act as analogs to norepinephrine and epinephrine, while biogenic amines undergo metabolism via N-acetylation rather than carboxylation of the amine and O-methylation. A mobile phase of 110 mM citrate, 90 mM acetate, 0.45 mM 1-octanesulfonic acid, 25 μM EDTA, 0.1% triethylamine, at pH 4.5 was developed for HPLC with electrochemical detection. Compared to typical phosphate buffers used in the literature, this citrate-acetate mobile phase showed improved resolution and sensitivity of 20 neurotransmitters due to a more favorable pH range, particularly for octopamine and tyramine. Cyclic voltammetry was then used to further probe why this system works more effectively.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2353330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Identifying fertilizer origin using portable FT-IR and handheld Raman spectroscopy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Maria Philip</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maphilip@bsc.edu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Maria A. Philip</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Carlos Fraga</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Birmingham-Southern College, Nashville, TN, United States. </w:t>
                  </w:r>
                  <w:r w:rsidRPr="001F5B5C">
                    <w:rPr>
                      <w:rFonts w:ascii="Times New Roman" w:eastAsia="Times New Roman" w:hAnsi="Times New Roman"/>
                      <w:sz w:val="20"/>
                      <w:szCs w:val="20"/>
                    </w:rPr>
                    <w:br/>
                    <w:t xml:space="preserve">2. Pacific Northwest National Laboratory, Richland, WA,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Calcium ammonium nitrate (CAN) and ammonium nitrate (AN) fertilizers are oxidizers that are often used to make home-made explosives and roadside improvised explosive devices (IEDs). Previous forensic analysis studies have reported the use of benchtop instruments such as inductively coupled plasma–mass spectrometry (ICP–MS) and isotope-ratio mass spectrometry (IRMS) to determine the manufacturer of CAN and AN samples. One disadvantage of using these instruments is that they are time-consuming and samples cannot be analyzed in the field. Currently, there are no published studies on field analysis of fertilizers using handheld or portable instruments. So, the main objective of this research was to determine whether or not it is possible to identify the country of origin of CAN and </w:t>
                  </w:r>
                  <w:proofErr w:type="gramStart"/>
                  <w:r w:rsidRPr="001F5B5C">
                    <w:rPr>
                      <w:rFonts w:ascii="Times New Roman" w:eastAsia="Times New Roman" w:hAnsi="Times New Roman"/>
                      <w:sz w:val="20"/>
                      <w:szCs w:val="20"/>
                    </w:rPr>
                    <w:t>AN</w:t>
                  </w:r>
                  <w:proofErr w:type="gramEnd"/>
                  <w:r w:rsidRPr="001F5B5C">
                    <w:rPr>
                      <w:rFonts w:ascii="Times New Roman" w:eastAsia="Times New Roman" w:hAnsi="Times New Roman"/>
                      <w:sz w:val="20"/>
                      <w:szCs w:val="20"/>
                    </w:rPr>
                    <w:t xml:space="preserve"> samples using portable FT-IR spectroscopy and handheld Raman spectroscopy.</w:t>
                  </w:r>
                  <w:r w:rsidRPr="001F5B5C">
                    <w:rPr>
                      <w:rFonts w:ascii="Times New Roman" w:eastAsia="Times New Roman" w:hAnsi="Times New Roman"/>
                      <w:sz w:val="20"/>
                      <w:szCs w:val="20"/>
                    </w:rPr>
                    <w:br/>
                    <w:t xml:space="preserve">Our study analyzed eight batches of CAN and four of </w:t>
                  </w:r>
                  <w:proofErr w:type="gramStart"/>
                  <w:r w:rsidRPr="001F5B5C">
                    <w:rPr>
                      <w:rFonts w:ascii="Times New Roman" w:eastAsia="Times New Roman" w:hAnsi="Times New Roman"/>
                      <w:sz w:val="20"/>
                      <w:szCs w:val="20"/>
                    </w:rPr>
                    <w:t>AN</w:t>
                  </w:r>
                  <w:proofErr w:type="gramEnd"/>
                  <w:r w:rsidRPr="001F5B5C">
                    <w:rPr>
                      <w:rFonts w:ascii="Times New Roman" w:eastAsia="Times New Roman" w:hAnsi="Times New Roman"/>
                      <w:sz w:val="20"/>
                      <w:szCs w:val="20"/>
                    </w:rPr>
                    <w:t xml:space="preserve"> using a handheld Raman (Thermo Scientific Ahura FD) and a portable FT-IR (Smiths Detection HazmatID 360), respectively. Seven of the CAN batches were from countries</w:t>
                  </w:r>
                  <w:r w:rsidRPr="001F5B5C">
                    <w:rPr>
                      <w:rFonts w:ascii="Times New Roman" w:eastAsia="Times New Roman" w:hAnsi="Times New Roman"/>
                      <w:b/>
                      <w:bCs/>
                      <w:sz w:val="20"/>
                      <w:szCs w:val="20"/>
                    </w:rPr>
                    <w:t xml:space="preserve"> </w:t>
                  </w:r>
                  <w:r w:rsidRPr="001F5B5C">
                    <w:rPr>
                      <w:rFonts w:ascii="Times New Roman" w:eastAsia="Times New Roman" w:hAnsi="Times New Roman"/>
                      <w:sz w:val="20"/>
                      <w:szCs w:val="20"/>
                    </w:rPr>
                    <w:t xml:space="preserve">B, C, and D; the eighth batch—batch A—was of unknown origin. Three of the AN batches were from unknown sources and were referred to by their batch names: E, F, and G. The fourth AN batch was from country H. Solid samples were crushed and scanned using both instruments in clear vials, and data was produced in less than ten minutes. Partial least squares discriminant analysis (PLS-DA) models were built in Matlab’s PLS Toolbox based on 54 CAN samples and 36 AN samples using Raman and FT-IR spectroscopy, respectively. PLS-DA model for </w:t>
                  </w:r>
                  <w:proofErr w:type="gramStart"/>
                  <w:r w:rsidRPr="001F5B5C">
                    <w:rPr>
                      <w:rFonts w:ascii="Times New Roman" w:eastAsia="Times New Roman" w:hAnsi="Times New Roman"/>
                      <w:sz w:val="20"/>
                      <w:szCs w:val="20"/>
                    </w:rPr>
                    <w:t>AN</w:t>
                  </w:r>
                  <w:proofErr w:type="gramEnd"/>
                  <w:r w:rsidRPr="001F5B5C">
                    <w:rPr>
                      <w:rFonts w:ascii="Times New Roman" w:eastAsia="Times New Roman" w:hAnsi="Times New Roman"/>
                      <w:sz w:val="20"/>
                      <w:szCs w:val="20"/>
                    </w:rPr>
                    <w:t xml:space="preserve"> contained two levels: the first level determined whether a sample was from batch E or not; the second level determined whether the sample was from batch F, batch G, or country H. Finally, unknown samples were analyzed for both types of fertilizer. PLS-DA models accurately predicted 13/13 (100%) of the unknown CAN samples and 11/12 (91.7%) of the unknown AN samples with no unclassified strict or probable predictions. This study clearly demonstrated that it is possible to determine the origin of calcium ammonium nitrate and ammonium nitrate fertilizers using a handheld Raman and a portable FT-IR for field applications.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2353985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Voltammetric detection of silver ions using carbon paste electrodes for nanosilver oxidation studies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Olivia Pearce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pearceom@g.cofc.edu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Olivia M. Pearce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Katherine M. Mullaugh</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College of Charleston, New Orleans,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Silver nanoparticles (Ag</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 NPs) are now widely used in consumer goods, raising concerns about the environmental impact of their use due to </w:t>
                  </w:r>
                  <w:proofErr w:type="gramStart"/>
                  <w:r w:rsidRPr="001F5B5C">
                    <w:rPr>
                      <w:rFonts w:ascii="Times New Roman" w:eastAsia="Times New Roman" w:hAnsi="Times New Roman"/>
                      <w:sz w:val="20"/>
                      <w:szCs w:val="20"/>
                    </w:rPr>
                    <w:t>the know</w:t>
                  </w:r>
                  <w:proofErr w:type="gramEnd"/>
                  <w:r w:rsidRPr="001F5B5C">
                    <w:rPr>
                      <w:rFonts w:ascii="Times New Roman" w:eastAsia="Times New Roman" w:hAnsi="Times New Roman"/>
                      <w:sz w:val="20"/>
                      <w:szCs w:val="20"/>
                    </w:rPr>
                    <w:t xml:space="preserve"> oxidative dissolution of Ag</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 NPs to release toxic silver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ions. Current analytical methods are unable to measure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ions in the presence of Ag</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 NPs at low, environmentally relevant concentrations without a separation step. To address this, we have developed a method that utilizes differential pulse stripping voltammetry (DPSV) with carbon paste electrodes (CPE) to detect nanomolar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concentrations. Various parameters have been optimized for this method including deposition time, deposition potential, and scanning technique. Because this method responds to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ions and not Ag</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 NPs, the oxidative dissolution of Ag</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 NPs can be monitored without a separation step, greatly simplifying analysis. We have applied this method in a study of the pH-dependence of nanosilver oxidation. This technique will be further utilized in future studies that examine how other solution conditions like salinity, dissolved oxygen, sulfide and organic material influence the release of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ions from Ag</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 NPs in conditions and at concentrations representative of natural waters.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2358296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characterization of surface-enhanced raman scattering gold nanoparticle probes for detection and capture of circulating tumor cells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Aaron Jones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aarrjone@ut.utm.edu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Aaron R. Jones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Ryan T. O'Connor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Xiaohua Huang</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The University of Memphis, Germantown, TN, United States. </w:t>
                  </w:r>
                  <w:r w:rsidRPr="001F5B5C">
                    <w:rPr>
                      <w:rFonts w:ascii="Times New Roman" w:eastAsia="Times New Roman" w:hAnsi="Times New Roman"/>
                      <w:sz w:val="20"/>
                      <w:szCs w:val="20"/>
                    </w:rPr>
                    <w:br/>
                    <w:t xml:space="preserve">2. Chemistry, University of Memphs, Griffin, GA, United States. </w:t>
                  </w:r>
                  <w:r w:rsidRPr="001F5B5C">
                    <w:rPr>
                      <w:rFonts w:ascii="Times New Roman" w:eastAsia="Times New Roman" w:hAnsi="Times New Roman"/>
                      <w:sz w:val="20"/>
                      <w:szCs w:val="20"/>
                    </w:rPr>
                    <w:br/>
                    <w:t xml:space="preserve">3. Chemistry &amp; Physics, University of Tennessee, Martin, Covington,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Due to their exceptional properties, gold nanoparticles have been the subject of exponentially increasing levels of research interests during the last decade. They have found use in many areas, from energy generation to medicinal treatment. In this work, we aim to develop anisotropic gold nanoparticles, gold nanorods for multicolor detection of cancerous cells in the bloodstream. Due to the unique localized surface plasmon resonance, gold nanorods strongly enhance Raman scattering of adsorbed molecules, allowing for highly sensitive detection of circulating tumor cells via surface enhanced Raman scattering spectroscopy. In this study, gold nanorods of different aspect ratios were synthesized via a seed-mediated method. They were tagged with four different Raman tags: QSY-21, IR-783, IR-820, and BHQ-3 to make four-color surface enhanced Raman scattering nanoparticles. Systematic studies were conducted to examine the effects of aspect ratio of the nanorods and the density of Raman tags on the surface enhanced Raman scattering sensitivity. We found that gold nanorods with aspect ratio around 4.00 – 4.15 (localized surface plasmon resonance around 800 – 815 nm) gave the highest SERS sensitivity for all Raman tags. For each Raman tag, an optimal coating was achieved to give the highest SERS sensitivity without causing particle aggregation. Continued studies on bioconjugation with monoclonal antibodies will lead to four-color gold nanorod surface enhanced Raman scattering probes for identification and detection of circulating tumor cells.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2359088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Crystallization kinetics of salts from aqueous solutions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Calla McCulley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callam@uab.edu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Calla M. McCulley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Victoria Stanford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Jennifer R. Prado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Sergey V. Vyazovkin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Alabama at Birmingham, Birmingham,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study explores the possibility of using DSC to measure the kinetics of crystallization of salts from aqueous solutions. The saturated solutions of potassium nitrate, rubidium nitrate, and ammonium perchlorate have been studied at several cooling rates. It has been found that crystallization of the salts is accompanied by a significant heat release that becomes detectable above 0</w:t>
                  </w:r>
                  <w:r w:rsidRPr="001F5B5C">
                    <w:rPr>
                      <w:rFonts w:ascii="Times New Roman" w:eastAsia="Times New Roman" w:hAnsi="Times New Roman"/>
                      <w:sz w:val="20"/>
                      <w:szCs w:val="20"/>
                      <w:vertAlign w:val="superscript"/>
                    </w:rPr>
                    <w:t>o</w:t>
                  </w:r>
                  <w:r w:rsidRPr="001F5B5C">
                    <w:rPr>
                      <w:rFonts w:ascii="Times New Roman" w:eastAsia="Times New Roman" w:hAnsi="Times New Roman"/>
                      <w:sz w:val="20"/>
                      <w:szCs w:val="20"/>
                    </w:rPr>
                    <w:t>C. The DSC peaks demonstrate a shift to lower temperature with an increase in cooling rate. The DSC data have been analyzed by means of an advanced isoconversional method [1] which permitted estimating dependencies of the effective activation energy (E</w:t>
                  </w:r>
                  <w:r w:rsidRPr="001F5B5C">
                    <w:rPr>
                      <w:rFonts w:ascii="Times New Roman" w:eastAsia="Times New Roman" w:hAnsi="Times New Roman"/>
                      <w:sz w:val="20"/>
                      <w:szCs w:val="20"/>
                      <w:vertAlign w:val="subscript"/>
                    </w:rPr>
                    <w:t>a</w:t>
                  </w:r>
                  <w:r w:rsidRPr="001F5B5C">
                    <w:rPr>
                      <w:rFonts w:ascii="Times New Roman" w:eastAsia="Times New Roman" w:hAnsi="Times New Roman"/>
                      <w:sz w:val="20"/>
                      <w:szCs w:val="20"/>
                    </w:rPr>
                    <w:t>) on the conversion (a). The E</w:t>
                  </w:r>
                  <w:r w:rsidRPr="001F5B5C">
                    <w:rPr>
                      <w:rFonts w:ascii="Times New Roman" w:eastAsia="Times New Roman" w:hAnsi="Times New Roman"/>
                      <w:sz w:val="20"/>
                      <w:szCs w:val="20"/>
                      <w:vertAlign w:val="subscript"/>
                    </w:rPr>
                    <w:t>a</w:t>
                  </w:r>
                  <w:r w:rsidRPr="001F5B5C">
                    <w:rPr>
                      <w:rFonts w:ascii="Times New Roman" w:eastAsia="Times New Roman" w:hAnsi="Times New Roman"/>
                      <w:sz w:val="20"/>
                      <w:szCs w:val="20"/>
                    </w:rPr>
                    <w:t xml:space="preserve"> values are negative which has been the case [1] for a number of other nucleation driven processes measured on cooling such as the melt crystallization, gelatin solution gelation, and solid-solid phase transition. The negative values reflect anti-Arrhenian temperature dependence of the process rate, i.e., acceleration with decreasing temperature. All three salts appear to demonstrate similar E</w:t>
                  </w:r>
                  <w:r w:rsidRPr="001F5B5C">
                    <w:rPr>
                      <w:rFonts w:ascii="Times New Roman" w:eastAsia="Times New Roman" w:hAnsi="Times New Roman"/>
                      <w:sz w:val="20"/>
                      <w:szCs w:val="20"/>
                      <w:vertAlign w:val="subscript"/>
                    </w:rPr>
                    <w:t>a</w:t>
                  </w:r>
                  <w:r w:rsidRPr="001F5B5C">
                    <w:rPr>
                      <w:rFonts w:ascii="Times New Roman" w:eastAsia="Times New Roman" w:hAnsi="Times New Roman"/>
                      <w:sz w:val="20"/>
                      <w:szCs w:val="20"/>
                    </w:rPr>
                    <w:t xml:space="preserve"> dependencies that include a maximum. It is proposed that a switch from the increasing to decreasing portion of the Ea dependencies may be associated with a change in crystallization mechanism from primary (homogenous) to secondary (heterogenous) nucleation.</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[1] S. Vyazovkin, Isoconversional kinetics of thermally stimulated processes. Springer: 2015.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2359320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Identifying the polyphenols present in green, black, and herbal teas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Katarina Jones | Grace Sarabia | Alice Suroviec</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Katarina.Jones@vikings.berry.edu | Grace.Sarabia@vikings.berry.edu | asuroviec@berry.edu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Katarina Jones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Grace Sarabia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Alice C. Suroviec</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Dept, Berry College, Mount Berry,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study attempted to see which polyphenols were present in a variety of teas using cyclic voltammetry. Different teas were first brewed and diluted while cold. After these results were gathered, we explored how heat might affect the molecules present. We found that most of the cold brewed teas contained catechin, while a few teas contained catechol or unidentified molecules. With heat, the teas were shown to have many of same molecules as the cold, with a higher concentration of catechin. However, some heated teas contained completely different polyphenols than the cold brew. This paper examines under what conditions different anti-oxidants appear.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2359526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Kinetics of phenolphthalein color fading experiment via a small footprint diode array spectrometer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Zeljka Popovic | Paige Lott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zeljka.popovic@bobcats.gcsu.edu | paige.lott@bobcats.gcsu.edu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Zeljka Popovic</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Paige Lott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Ronald Fietkau</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Georgia College and St Univ, Milledgeville,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Phenolphthalein is a common indicator used is acid base titrations. In acidic solutions, phenolphthalein is colorless, while in basic solutions it has a pink color. An interesting fact is that the pink color fades with time. The rate law for this reaction is second order but by increasing the concentration of base significantly the reaction becomes a pseudo-first order reaction. This experiment employs a small footprint visible-near-infrared spectrometer (Vis-NIR) with diode array detector. The absorbance at 555 nm of phenolphthalein in high concentrations of base as a function of time was collected employing using the software that operates the spectrometer. The results contained in the data collection file are exported to a spreadsheet for further processing. The order with respect to phenolphthalein and base can be determined. This experiment with its small foot print spectrometer (easily portable) is well suited to educational settings.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2359554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Elemental analysis of shiitake mushrooms from small business farms in Mississippi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Jay Patel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dwl938@mocs.utc.edu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Jay N. Patel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Frank A. Mrema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Gretchen E. Potts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The University of Tennessee at Chattanooga, Chattanooga, TN, United States. </w:t>
                  </w:r>
                  <w:r w:rsidRPr="001F5B5C">
                    <w:rPr>
                      <w:rFonts w:ascii="Times New Roman" w:eastAsia="Times New Roman" w:hAnsi="Times New Roman"/>
                      <w:sz w:val="20"/>
                      <w:szCs w:val="20"/>
                    </w:rPr>
                    <w:br/>
                    <w:t xml:space="preserve">2. Mississippi Small Farms and Agriculture Center, Alcorn State University, Lorman,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Cultivation of Shiitake mushrooms (</w:t>
                  </w:r>
                  <w:r w:rsidRPr="001F5B5C">
                    <w:rPr>
                      <w:rFonts w:ascii="Times New Roman" w:eastAsia="Times New Roman" w:hAnsi="Times New Roman"/>
                      <w:i/>
                      <w:iCs/>
                      <w:sz w:val="20"/>
                      <w:szCs w:val="20"/>
                    </w:rPr>
                    <w:t>Lentinus Edodes</w:t>
                  </w:r>
                  <w:r w:rsidRPr="001F5B5C">
                    <w:rPr>
                      <w:rFonts w:ascii="Times New Roman" w:eastAsia="Times New Roman" w:hAnsi="Times New Roman"/>
                      <w:sz w:val="20"/>
                      <w:szCs w:val="20"/>
                    </w:rPr>
                    <w:t>) began in the US a few decades ago, when chefs introduced them into gourmet recipes. Samples of edible Shiitake mushrooms were provided by the Mississippi Small Farms and Agribusiness Center (MSFAC), which is run as an outreach program of Alcorn State University. The mushrooms were grown on sweetgum logs, which were harvested from trees grown near creeks. Questionable log choice and possible log contamination led to an interest in the elemental analysis of the mushrooms. The Shiitake mushrooms were harvested, dried at 70°C, ground to a powder, and digested using a variation of US Environmental Protection Agency (EPA) 200.3 Method. Standards of As, Cd, Pb, Se, Tl, Al, Be, Co, Co, Cu, Fe, Mn, Ni, V, Ag, B, Sb, K, Li, Mo, Sr, and Zn were prepared and analyzed by ICP-OES. Calibration curves were developed and the limit of detection (LOD) and limit of quantification (LOQ) were determined for each element of interest. The mushrooms were then analyzed for the 22 elements by ICP-OES. The results of the analysis and a statistical comparison to our previous published research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49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2359586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Determination of fluoride levels in name and generic brand mouthwashes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Eme Henshaw</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eme.henshaw@bobcats.gcsu.edu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Eme Henshaw</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Ronald Fietkau</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Georgia College and St Univ, Milledgeville,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w:t>
                  </w:r>
                  <w:proofErr w:type="gramStart"/>
                  <w:r w:rsidRPr="001F5B5C">
                    <w:rPr>
                      <w:rFonts w:ascii="Times New Roman" w:eastAsia="Times New Roman" w:hAnsi="Times New Roman"/>
                      <w:sz w:val="20"/>
                      <w:szCs w:val="20"/>
                    </w:rPr>
                    <w:t>benefits of supplemental forms of fluoride from various sources has</w:t>
                  </w:r>
                  <w:proofErr w:type="gramEnd"/>
                  <w:r w:rsidRPr="001F5B5C">
                    <w:rPr>
                      <w:rFonts w:ascii="Times New Roman" w:eastAsia="Times New Roman" w:hAnsi="Times New Roman"/>
                      <w:sz w:val="20"/>
                      <w:szCs w:val="20"/>
                    </w:rPr>
                    <w:t xml:space="preserve"> been investigated for years. An optimal concentration of fluoride in human systems is necessary to avoid both dental caries and fluorosis. The Department of Health and Human Services recommends a range of 0.7 to 1.2 milligrams per liter. This range minimizes the chance for dental fluorosis. Samples from name and generic brands of mouthwashes were analyzed using ion chromatography. Mouthwash samples showed levels of fluoride consistent with those listed on the bottle by the manufacturer.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2359838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Application of Cr(III) as a Protonating Enhancement Agent in MALDI/TOF Mass Spectrometry: Studies of Small Peptides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Rudradatt Persaud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riped01@yahoo.com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Rudradatt R. Persaud</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Alabama, </w:t>
                  </w:r>
                  <w:proofErr w:type="gramStart"/>
                  <w:r w:rsidRPr="001F5B5C">
                    <w:rPr>
                      <w:rFonts w:ascii="Times New Roman" w:eastAsia="Times New Roman" w:hAnsi="Times New Roman"/>
                      <w:sz w:val="20"/>
                      <w:szCs w:val="20"/>
                    </w:rPr>
                    <w:t>Tuscaloosa ,</w:t>
                  </w:r>
                  <w:proofErr w:type="gramEnd"/>
                  <w:r w:rsidRPr="001F5B5C">
                    <w:rPr>
                      <w:rFonts w:ascii="Times New Roman" w:eastAsia="Times New Roman" w:hAnsi="Times New Roman"/>
                      <w:sz w:val="20"/>
                      <w:szCs w:val="20"/>
                    </w:rPr>
                    <w:t xml:space="preserve">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Matrix assisted laser desorption ionization (MALDI) is a common soft ionization mass spectrometry technique utilized in the analysis of biomolecules and polymers. Ionization by MALDI most commonly involves the production of singly charged protonated molecular ions, [M+H</w:t>
                  </w:r>
                  <w:proofErr w:type="gramStart"/>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perscript"/>
                    </w:rPr>
                    <w:t>+</w:t>
                  </w:r>
                  <w:proofErr w:type="gramEnd"/>
                  <w:r w:rsidRPr="001F5B5C">
                    <w:rPr>
                      <w:rFonts w:ascii="Times New Roman" w:eastAsia="Times New Roman" w:hAnsi="Times New Roman"/>
                      <w:sz w:val="20"/>
                      <w:szCs w:val="20"/>
                    </w:rPr>
                    <w:t>. In this study, addition of chromium(III) nitrate, Cr(NO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to peptide solutions was found to increase the intensity of [M+H]</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produced by MALDI/time-of-flight (TOF) mass spectrometry. This work involved the basic peptides bradykinin and substance P, as well as the acidic peptides hirudin (54-65) and human fibrinopeptide b. Addition of </w:t>
                  </w:r>
                  <w:proofErr w:type="gramStart"/>
                  <w:r w:rsidRPr="001F5B5C">
                    <w:rPr>
                      <w:rFonts w:ascii="Times New Roman" w:eastAsia="Times New Roman" w:hAnsi="Times New Roman"/>
                      <w:sz w:val="20"/>
                      <w:szCs w:val="20"/>
                    </w:rPr>
                    <w:t>Cr(</w:t>
                  </w:r>
                  <w:proofErr w:type="gramEnd"/>
                  <w:r w:rsidRPr="001F5B5C">
                    <w:rPr>
                      <w:rFonts w:ascii="Times New Roman" w:eastAsia="Times New Roman" w:hAnsi="Times New Roman"/>
                      <w:sz w:val="20"/>
                      <w:szCs w:val="20"/>
                    </w:rPr>
                    <w:t>III) increased the intensity of [M+H]</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by several orders of magnitude when using the common MALDI matrix 2, 5-dihydroxybenzoic acid (DHB). Surprisingly, production of adduct ions of peptide and </w:t>
                  </w:r>
                  <w:proofErr w:type="gramStart"/>
                  <w:r w:rsidRPr="001F5B5C">
                    <w:rPr>
                      <w:rFonts w:ascii="Times New Roman" w:eastAsia="Times New Roman" w:hAnsi="Times New Roman"/>
                      <w:sz w:val="20"/>
                      <w:szCs w:val="20"/>
                    </w:rPr>
                    <w:t>Cr(</w:t>
                  </w:r>
                  <w:proofErr w:type="gramEnd"/>
                  <w:r w:rsidRPr="001F5B5C">
                    <w:rPr>
                      <w:rFonts w:ascii="Times New Roman" w:eastAsia="Times New Roman" w:hAnsi="Times New Roman"/>
                      <w:sz w:val="20"/>
                      <w:szCs w:val="20"/>
                    </w:rPr>
                    <w:t xml:space="preserve">III) did not occur, but instead a very clean spectral background was observed. In contrast, the use of </w:t>
                  </w:r>
                  <w:proofErr w:type="gramStart"/>
                  <w:r w:rsidRPr="001F5B5C">
                    <w:rPr>
                      <w:rFonts w:ascii="Times New Roman" w:eastAsia="Times New Roman" w:hAnsi="Times New Roman"/>
                      <w:sz w:val="20"/>
                      <w:szCs w:val="20"/>
                    </w:rPr>
                    <w:t>Cr(</w:t>
                  </w:r>
                  <w:proofErr w:type="gramEnd"/>
                  <w:r w:rsidRPr="001F5B5C">
                    <w:rPr>
                      <w:rFonts w:ascii="Times New Roman" w:eastAsia="Times New Roman" w:hAnsi="Times New Roman"/>
                      <w:sz w:val="20"/>
                      <w:szCs w:val="20"/>
                    </w:rPr>
                    <w:t>III) in conjunction with the matrix 1, 5-Diaminoaphthalene (DAN), which has no carboxylic acid groups, resulted in a poor protonated peptide signal by MALDI. Instrument parameters such as, laser intensity, deflection, scan number, and calibration methods were also optimized.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2359864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Transformation of Au</w:t>
                  </w:r>
                  <w:r w:rsidRPr="001F5B5C">
                    <w:rPr>
                      <w:rFonts w:ascii="Times New Roman" w:eastAsia="Times New Roman" w:hAnsi="Times New Roman"/>
                      <w:sz w:val="20"/>
                      <w:szCs w:val="20"/>
                      <w:vertAlign w:val="subscript"/>
                    </w:rPr>
                    <w:t>144</w:t>
                  </w:r>
                  <w:r w:rsidRPr="001F5B5C">
                    <w:rPr>
                      <w:rFonts w:ascii="Times New Roman" w:eastAsia="Times New Roman" w:hAnsi="Times New Roman"/>
                      <w:sz w:val="20"/>
                      <w:szCs w:val="20"/>
                    </w:rPr>
                    <w:t>(SCH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Ph)</w:t>
                  </w:r>
                  <w:r w:rsidRPr="001F5B5C">
                    <w:rPr>
                      <w:rFonts w:ascii="Times New Roman" w:eastAsia="Times New Roman" w:hAnsi="Times New Roman"/>
                      <w:sz w:val="20"/>
                      <w:szCs w:val="20"/>
                      <w:vertAlign w:val="subscript"/>
                    </w:rPr>
                    <w:t>60</w:t>
                  </w:r>
                  <w:r w:rsidRPr="001F5B5C">
                    <w:rPr>
                      <w:rFonts w:ascii="Times New Roman" w:eastAsia="Times New Roman" w:hAnsi="Times New Roman"/>
                      <w:sz w:val="20"/>
                      <w:szCs w:val="20"/>
                    </w:rPr>
                    <w:t xml:space="preserve"> to Au</w:t>
                  </w:r>
                  <w:r w:rsidRPr="001F5B5C">
                    <w:rPr>
                      <w:rFonts w:ascii="Times New Roman" w:eastAsia="Times New Roman" w:hAnsi="Times New Roman"/>
                      <w:sz w:val="20"/>
                      <w:szCs w:val="20"/>
                      <w:vertAlign w:val="subscript"/>
                    </w:rPr>
                    <w:t>133</w:t>
                  </w:r>
                  <w:r w:rsidRPr="001F5B5C">
                    <w:rPr>
                      <w:rFonts w:ascii="Times New Roman" w:eastAsia="Times New Roman" w:hAnsi="Times New Roman"/>
                      <w:sz w:val="20"/>
                      <w:szCs w:val="20"/>
                    </w:rPr>
                    <w:t>(SPh-</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rPr>
                    <w:t>Bu)</w:t>
                  </w:r>
                  <w:r w:rsidRPr="001F5B5C">
                    <w:rPr>
                      <w:rFonts w:ascii="Times New Roman" w:eastAsia="Times New Roman" w:hAnsi="Times New Roman"/>
                      <w:sz w:val="20"/>
                      <w:szCs w:val="20"/>
                      <w:vertAlign w:val="subscript"/>
                    </w:rPr>
                    <w:t>52</w:t>
                  </w:r>
                  <w:r w:rsidRPr="001F5B5C">
                    <w:rPr>
                      <w:rFonts w:ascii="Times New Roman" w:eastAsia="Times New Roman" w:hAnsi="Times New Roman"/>
                      <w:sz w:val="20"/>
                      <w:szCs w:val="20"/>
                    </w:rPr>
                    <w:t xml:space="preserve"> Nanomolecules: X-ray Crystallography, Optical, Electrochemical, Experimental and Theoretical Analysis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Shevanuja Theivendran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stheiven@go.olemiss.edu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Shevanuja Theivendran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Amaladass Antonysamy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Praneeth reddy Nimmala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Chanaka Kumara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Vijay S. Reddy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Alessandro Fortunelli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Luca Sementa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Giovanni Barcaro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Edoardo Apra</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Xiaobing Zuo</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Bruce C. Noll</w:t>
                  </w:r>
                  <w:r w:rsidRPr="001F5B5C">
                    <w:rPr>
                      <w:rFonts w:ascii="Times New Roman" w:eastAsia="Times New Roman" w:hAnsi="Times New Roman"/>
                      <w:sz w:val="20"/>
                      <w:szCs w:val="20"/>
                      <w:vertAlign w:val="superscript"/>
                    </w:rPr>
                    <w:t>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CNR-IPCF, Pisa PI, Italy. </w:t>
                  </w:r>
                  <w:r w:rsidRPr="001F5B5C">
                    <w:rPr>
                      <w:rFonts w:ascii="Times New Roman" w:eastAsia="Times New Roman" w:hAnsi="Times New Roman"/>
                      <w:sz w:val="20"/>
                      <w:szCs w:val="20"/>
                    </w:rPr>
                    <w:br/>
                    <w:t xml:space="preserve">2. University of Mississippi, Oxford, MS, United States. </w:t>
                  </w:r>
                  <w:r w:rsidRPr="001F5B5C">
                    <w:rPr>
                      <w:rFonts w:ascii="Times New Roman" w:eastAsia="Times New Roman" w:hAnsi="Times New Roman"/>
                      <w:sz w:val="20"/>
                      <w:szCs w:val="20"/>
                    </w:rPr>
                    <w:br/>
                    <w:t xml:space="preserve">3. Pacific Northwest National Laboratory, Richland, WA, United States. </w:t>
                  </w:r>
                  <w:r w:rsidRPr="001F5B5C">
                    <w:rPr>
                      <w:rFonts w:ascii="Times New Roman" w:eastAsia="Times New Roman" w:hAnsi="Times New Roman"/>
                      <w:sz w:val="20"/>
                      <w:szCs w:val="20"/>
                    </w:rPr>
                    <w:br/>
                    <w:t xml:space="preserve">4. Argonne National Laboratory, Argonne, IL, United States. </w:t>
                  </w:r>
                  <w:r w:rsidRPr="001F5B5C">
                    <w:rPr>
                      <w:rFonts w:ascii="Times New Roman" w:eastAsia="Times New Roman" w:hAnsi="Times New Roman"/>
                      <w:sz w:val="20"/>
                      <w:szCs w:val="20"/>
                    </w:rPr>
                    <w:br/>
                    <w:t xml:space="preserve">5. Bruker AXS Inc, Madison, WI,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br/>
                    <w:t xml:space="preserve">X-ray crystallographic structure has been successfully solved for the largest reported thiolated gold nanomolecule as </w:t>
                  </w:r>
                  <w:proofErr w:type="gramStart"/>
                  <w:r w:rsidRPr="001F5B5C">
                    <w:rPr>
                      <w:rFonts w:ascii="Times New Roman" w:eastAsia="Times New Roman" w:hAnsi="Times New Roman"/>
                      <w:sz w:val="20"/>
                      <w:szCs w:val="20"/>
                    </w:rPr>
                    <w:t>Au</w:t>
                  </w:r>
                  <w:r w:rsidRPr="001F5B5C">
                    <w:rPr>
                      <w:rFonts w:ascii="Times New Roman" w:eastAsia="Times New Roman" w:hAnsi="Times New Roman"/>
                      <w:sz w:val="20"/>
                      <w:szCs w:val="20"/>
                      <w:vertAlign w:val="subscript"/>
                    </w:rPr>
                    <w:t>133</w:t>
                  </w:r>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SPh</w:t>
                  </w:r>
                  <w:r w:rsidRPr="001F5B5C">
                    <w:rPr>
                      <w:rFonts w:ascii="Times New Roman" w:eastAsia="Times New Roman" w:hAnsi="Times New Roman"/>
                      <w:sz w:val="20"/>
                      <w:szCs w:val="20"/>
                    </w:rPr>
                    <w:noBreakHyphen/>
                  </w:r>
                  <w:r w:rsidRPr="001F5B5C">
                    <w:rPr>
                      <w:rFonts w:ascii="Times New Roman" w:eastAsia="Times New Roman" w:hAnsi="Times New Roman"/>
                      <w:i/>
                      <w:iCs/>
                      <w:sz w:val="20"/>
                      <w:szCs w:val="20"/>
                    </w:rPr>
                    <w:t>t</w:t>
                  </w:r>
                  <w:r w:rsidRPr="001F5B5C">
                    <w:rPr>
                      <w:rFonts w:ascii="Times New Roman" w:eastAsia="Times New Roman" w:hAnsi="Times New Roman"/>
                      <w:sz w:val="20"/>
                      <w:szCs w:val="20"/>
                    </w:rPr>
                    <w:t>Bu)</w:t>
                  </w:r>
                  <w:r w:rsidRPr="001F5B5C">
                    <w:rPr>
                      <w:rFonts w:ascii="Times New Roman" w:eastAsia="Times New Roman" w:hAnsi="Times New Roman"/>
                      <w:sz w:val="20"/>
                      <w:szCs w:val="20"/>
                      <w:vertAlign w:val="subscript"/>
                    </w:rPr>
                    <w:t xml:space="preserve">52, </w:t>
                  </w:r>
                  <w:r w:rsidRPr="001F5B5C">
                    <w:rPr>
                      <w:rFonts w:ascii="Times New Roman" w:eastAsia="Times New Roman" w:hAnsi="Times New Roman"/>
                      <w:sz w:val="20"/>
                      <w:szCs w:val="20"/>
                    </w:rPr>
                    <w:t>which has been also verified by high resolution electro-spray mass spectrometry (ESI-MS). The structure of Au</w:t>
                  </w:r>
                  <w:r w:rsidRPr="001F5B5C">
                    <w:rPr>
                      <w:rFonts w:ascii="Times New Roman" w:eastAsia="Times New Roman" w:hAnsi="Times New Roman"/>
                      <w:sz w:val="20"/>
                      <w:szCs w:val="20"/>
                      <w:vertAlign w:val="subscript"/>
                    </w:rPr>
                    <w:t>133</w:t>
                  </w:r>
                  <w:r w:rsidRPr="001F5B5C">
                    <w:rPr>
                      <w:rFonts w:ascii="Times New Roman" w:eastAsia="Times New Roman" w:hAnsi="Times New Roman"/>
                      <w:sz w:val="20"/>
                      <w:szCs w:val="20"/>
                    </w:rPr>
                    <w:t xml:space="preserve"> is organized with four shells: first shell consist of Au</w:t>
                  </w:r>
                  <w:r w:rsidRPr="001F5B5C">
                    <w:rPr>
                      <w:rFonts w:ascii="Times New Roman" w:eastAsia="Times New Roman" w:hAnsi="Times New Roman"/>
                      <w:sz w:val="20"/>
                      <w:szCs w:val="20"/>
                      <w:vertAlign w:val="subscript"/>
                    </w:rPr>
                    <w:t>12</w:t>
                  </w:r>
                  <w:r w:rsidRPr="001F5B5C">
                    <w:rPr>
                      <w:rFonts w:ascii="Times New Roman" w:eastAsia="Times New Roman" w:hAnsi="Times New Roman"/>
                      <w:sz w:val="20"/>
                      <w:szCs w:val="20"/>
                    </w:rPr>
                    <w:t xml:space="preserve"> icosahedral shell surrounding the central Au atom, second shell with Au</w:t>
                  </w:r>
                  <w:r w:rsidRPr="001F5B5C">
                    <w:rPr>
                      <w:rFonts w:ascii="Times New Roman" w:eastAsia="Times New Roman" w:hAnsi="Times New Roman"/>
                      <w:sz w:val="20"/>
                      <w:szCs w:val="20"/>
                      <w:vertAlign w:val="subscript"/>
                    </w:rPr>
                    <w:t>42</w:t>
                  </w:r>
                  <w:r w:rsidRPr="001F5B5C">
                    <w:rPr>
                      <w:rFonts w:ascii="Times New Roman" w:eastAsia="Times New Roman" w:hAnsi="Times New Roman"/>
                      <w:sz w:val="20"/>
                      <w:szCs w:val="20"/>
                    </w:rPr>
                    <w:t xml:space="preserve"> icosahedral shell, third shell with 60-atom rhombiicosidodecahedron and finally, the outmost 26 atoms that are part of the 26 [−SR−Au−SR−] units. Core size conversion and compositional changes of ultra-stable nanomolecules </w:t>
                  </w:r>
                  <w:proofErr w:type="gramStart"/>
                  <w:r w:rsidRPr="001F5B5C">
                    <w:rPr>
                      <w:rFonts w:ascii="Times New Roman" w:eastAsia="Times New Roman" w:hAnsi="Times New Roman"/>
                      <w:sz w:val="20"/>
                      <w:szCs w:val="20"/>
                    </w:rPr>
                    <w:t>Au</w:t>
                  </w:r>
                  <w:r w:rsidRPr="001F5B5C">
                    <w:rPr>
                      <w:rFonts w:ascii="Times New Roman" w:eastAsia="Times New Roman" w:hAnsi="Times New Roman"/>
                      <w:sz w:val="20"/>
                      <w:szCs w:val="20"/>
                      <w:vertAlign w:val="subscript"/>
                    </w:rPr>
                    <w:t>144</w:t>
                  </w:r>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SCH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Ph)</w:t>
                  </w:r>
                  <w:r w:rsidRPr="001F5B5C">
                    <w:rPr>
                      <w:rFonts w:ascii="Times New Roman" w:eastAsia="Times New Roman" w:hAnsi="Times New Roman"/>
                      <w:sz w:val="20"/>
                      <w:szCs w:val="20"/>
                      <w:vertAlign w:val="subscript"/>
                    </w:rPr>
                    <w:t>60</w:t>
                  </w:r>
                  <w:r w:rsidRPr="001F5B5C">
                    <w:rPr>
                      <w:rFonts w:ascii="Times New Roman" w:eastAsia="Times New Roman" w:hAnsi="Times New Roman"/>
                      <w:sz w:val="20"/>
                      <w:szCs w:val="20"/>
                    </w:rPr>
                    <w:t xml:space="preserve"> was studied by etching with excess tert-butylbenzenethiol to form an entire new nanomolecule with the core of Au</w:t>
                  </w:r>
                  <w:r w:rsidRPr="001F5B5C">
                    <w:rPr>
                      <w:rFonts w:ascii="Times New Roman" w:eastAsia="Times New Roman" w:hAnsi="Times New Roman"/>
                      <w:sz w:val="20"/>
                      <w:szCs w:val="20"/>
                      <w:vertAlign w:val="subscript"/>
                    </w:rPr>
                    <w:t>133</w:t>
                  </w:r>
                  <w:r w:rsidRPr="001F5B5C">
                    <w:rPr>
                      <w:rFonts w:ascii="Times New Roman" w:eastAsia="Times New Roman" w:hAnsi="Times New Roman"/>
                      <w:sz w:val="20"/>
                      <w:szCs w:val="20"/>
                    </w:rPr>
                    <w:t>(SPh</w:t>
                  </w:r>
                  <w:r w:rsidRPr="001F5B5C">
                    <w:rPr>
                      <w:rFonts w:ascii="Times New Roman" w:eastAsia="Times New Roman" w:hAnsi="Times New Roman"/>
                      <w:sz w:val="20"/>
                      <w:szCs w:val="20"/>
                    </w:rPr>
                    <w:noBreakHyphen/>
                  </w:r>
                  <w:r w:rsidRPr="001F5B5C">
                    <w:rPr>
                      <w:rFonts w:ascii="Times New Roman" w:eastAsia="Times New Roman" w:hAnsi="Times New Roman"/>
                      <w:i/>
                      <w:iCs/>
                      <w:sz w:val="20"/>
                      <w:szCs w:val="20"/>
                    </w:rPr>
                    <w:t>t</w:t>
                  </w:r>
                  <w:r w:rsidRPr="001F5B5C">
                    <w:rPr>
                      <w:rFonts w:ascii="Times New Roman" w:eastAsia="Times New Roman" w:hAnsi="Times New Roman"/>
                      <w:sz w:val="20"/>
                      <w:szCs w:val="20"/>
                    </w:rPr>
                    <w:t>Bu)</w:t>
                  </w:r>
                  <w:r w:rsidRPr="001F5B5C">
                    <w:rPr>
                      <w:rFonts w:ascii="Times New Roman" w:eastAsia="Times New Roman" w:hAnsi="Times New Roman"/>
                      <w:sz w:val="20"/>
                      <w:szCs w:val="20"/>
                      <w:vertAlign w:val="subscript"/>
                    </w:rPr>
                    <w:t>52</w:t>
                  </w:r>
                  <w:r w:rsidRPr="001F5B5C">
                    <w:rPr>
                      <w:rFonts w:ascii="Times New Roman" w:eastAsia="Times New Roman" w:hAnsi="Times New Roman"/>
                      <w:sz w:val="20"/>
                      <w:szCs w:val="20"/>
                    </w:rPr>
                    <w:t xml:space="preserve">. Experimental analysis was performed using high resolution ESI-MS, which shows that the core size conversion is initiated after 22 ligand exchanges, suggesting a relatively high stability of the </w:t>
                  </w:r>
                  <w:proofErr w:type="gramStart"/>
                  <w:r w:rsidRPr="001F5B5C">
                    <w:rPr>
                      <w:rFonts w:ascii="Times New Roman" w:eastAsia="Times New Roman" w:hAnsi="Times New Roman"/>
                      <w:sz w:val="20"/>
                      <w:szCs w:val="20"/>
                    </w:rPr>
                    <w:t>Au</w:t>
                  </w:r>
                  <w:r w:rsidRPr="001F5B5C">
                    <w:rPr>
                      <w:rFonts w:ascii="Times New Roman" w:eastAsia="Times New Roman" w:hAnsi="Times New Roman"/>
                      <w:sz w:val="20"/>
                      <w:szCs w:val="20"/>
                      <w:vertAlign w:val="subscript"/>
                    </w:rPr>
                    <w:t>144</w:t>
                  </w:r>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SCH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Ph)</w:t>
                  </w:r>
                  <w:r w:rsidRPr="001F5B5C">
                    <w:rPr>
                      <w:rFonts w:ascii="Times New Roman" w:eastAsia="Times New Roman" w:hAnsi="Times New Roman"/>
                      <w:sz w:val="20"/>
                      <w:szCs w:val="20"/>
                      <w:vertAlign w:val="subscript"/>
                    </w:rPr>
                    <w:t>38</w:t>
                  </w:r>
                  <w:r w:rsidRPr="001F5B5C">
                    <w:rPr>
                      <w:rFonts w:ascii="Times New Roman" w:eastAsia="Times New Roman" w:hAnsi="Times New Roman"/>
                      <w:sz w:val="20"/>
                      <w:szCs w:val="20"/>
                    </w:rPr>
                    <w:t>(SPh-</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rPr>
                    <w:t>Bu)</w:t>
                  </w:r>
                  <w:r w:rsidRPr="001F5B5C">
                    <w:rPr>
                      <w:rFonts w:ascii="Times New Roman" w:eastAsia="Times New Roman" w:hAnsi="Times New Roman"/>
                      <w:sz w:val="20"/>
                      <w:szCs w:val="20"/>
                      <w:vertAlign w:val="subscript"/>
                    </w:rPr>
                    <w:t>22</w:t>
                  </w:r>
                  <w:r w:rsidRPr="001F5B5C">
                    <w:rPr>
                      <w:rFonts w:ascii="Times New Roman" w:eastAsia="Times New Roman" w:hAnsi="Times New Roman"/>
                      <w:sz w:val="20"/>
                      <w:szCs w:val="20"/>
                    </w:rPr>
                    <w:t xml:space="preserve"> intermediate. The core size conversion of Au</w:t>
                  </w:r>
                  <w:r w:rsidRPr="001F5B5C">
                    <w:rPr>
                      <w:rFonts w:ascii="Times New Roman" w:eastAsia="Times New Roman" w:hAnsi="Times New Roman"/>
                      <w:sz w:val="20"/>
                      <w:szCs w:val="20"/>
                      <w:vertAlign w:val="subscript"/>
                    </w:rPr>
                    <w:t>144</w:t>
                  </w:r>
                  <w:r w:rsidRPr="001F5B5C">
                    <w:rPr>
                      <w:rFonts w:ascii="Times New Roman" w:eastAsia="Times New Roman" w:hAnsi="Times New Roman"/>
                      <w:sz w:val="20"/>
                      <w:szCs w:val="20"/>
                    </w:rPr>
                    <w:t xml:space="preserve"> to Au</w:t>
                  </w:r>
                  <w:r w:rsidRPr="001F5B5C">
                    <w:rPr>
                      <w:rFonts w:ascii="Times New Roman" w:eastAsia="Times New Roman" w:hAnsi="Times New Roman"/>
                      <w:sz w:val="20"/>
                      <w:szCs w:val="20"/>
                      <w:vertAlign w:val="subscript"/>
                    </w:rPr>
                    <w:t>133</w:t>
                  </w:r>
                  <w:r w:rsidRPr="001F5B5C">
                    <w:rPr>
                      <w:rFonts w:ascii="Times New Roman" w:eastAsia="Times New Roman" w:hAnsi="Times New Roman"/>
                      <w:sz w:val="20"/>
                      <w:szCs w:val="20"/>
                    </w:rPr>
                    <w:t xml:space="preserve"> using tert-butylbenzenethiol is different from the case of reported Au</w:t>
                  </w:r>
                  <w:r w:rsidRPr="001F5B5C">
                    <w:rPr>
                      <w:rFonts w:ascii="Times New Roman" w:eastAsia="Times New Roman" w:hAnsi="Times New Roman"/>
                      <w:sz w:val="20"/>
                      <w:szCs w:val="20"/>
                      <w:vertAlign w:val="subscript"/>
                    </w:rPr>
                    <w:t>144</w:t>
                  </w:r>
                  <w:r w:rsidRPr="001F5B5C">
                    <w:rPr>
                      <w:rFonts w:ascii="Times New Roman" w:eastAsia="Times New Roman" w:hAnsi="Times New Roman"/>
                      <w:sz w:val="20"/>
                      <w:szCs w:val="20"/>
                    </w:rPr>
                    <w:t xml:space="preserve"> to Au</w:t>
                  </w:r>
                  <w:r w:rsidRPr="001F5B5C">
                    <w:rPr>
                      <w:rFonts w:ascii="Times New Roman" w:eastAsia="Times New Roman" w:hAnsi="Times New Roman"/>
                      <w:sz w:val="20"/>
                      <w:szCs w:val="20"/>
                      <w:vertAlign w:val="subscript"/>
                    </w:rPr>
                    <w:t>99</w:t>
                  </w:r>
                  <w:r w:rsidRPr="001F5B5C">
                    <w:rPr>
                      <w:rFonts w:ascii="Times New Roman" w:eastAsia="Times New Roman" w:hAnsi="Times New Roman"/>
                      <w:sz w:val="20"/>
                      <w:szCs w:val="20"/>
                    </w:rPr>
                    <w:t xml:space="preserve"> using thiophenol. Moreover, successful formation of crystals is mainly due to the presence of rigid and bulky ligand group as indicated by the theoretical analysis.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2360149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Monitoring Surface Water of Lake Sinclair in Georgia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John Olmstead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john.olmstead@bobcats.gcsu.edu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John Olmstead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Catrena H. Lisse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 Physics Astronomy, Georgia College State University, Milledgeville, GA, United States. </w:t>
                  </w:r>
                  <w:r w:rsidRPr="001F5B5C">
                    <w:rPr>
                      <w:rFonts w:ascii="Times New Roman" w:eastAsia="Times New Roman" w:hAnsi="Times New Roman"/>
                      <w:sz w:val="20"/>
                      <w:szCs w:val="20"/>
                    </w:rPr>
                    <w:br/>
                    <w:t xml:space="preserve">2. Georgia College and State University,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Pollution through sewage water contamination, industrial fertilizer, and coal burning power plants can lead to degradation of water quality. Eutrophication, the ecosystem response as a result of the addition of excess nutrients, will further degrade water quality by depleting the oxygen in water. Nutrient levels are measured using HACH surface water kits and YSI probes to access eutrophic conditions. Purge-n-Trap coupled with GC/MS is used to test for potential gasoline additives and byproducts found in the surface water around well-populated, high traffic areas of Lake Sinclair. Liquid chromatography (HPLC) is used to search for commonly used pesticides and fertilizers. This presentation highlights the EPA protocol for water quality in recreational areas, method development and experimental design for the analysis, as well as the results of the project.</w:t>
                  </w:r>
                  <w:r w:rsidRPr="001F5B5C">
                    <w:rPr>
                      <w:rFonts w:ascii="Times New Roman" w:eastAsia="Times New Roman" w:hAnsi="Times New Roman"/>
                      <w:sz w:val="20"/>
                      <w:szCs w:val="20"/>
                    </w:rPr>
                    <w:br/>
                    <w:t>Livingston, Robert J. Eutrophication Processes In Coastal Systems. New York: CRC, 2001. Print.1</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2360230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Qualitative identification of volatile organic compounds present in electronic-cigarette vapor via GC/MS detection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Elaine Smith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elaine.smith@bobcats.gcsu.edu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Elaine Smith</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Catrena H. Lisse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 Physics Astronomy, Georgia College State University, Milledgeville, GA, United States. </w:t>
                  </w:r>
                  <w:r w:rsidRPr="001F5B5C">
                    <w:rPr>
                      <w:rFonts w:ascii="Times New Roman" w:eastAsia="Times New Roman" w:hAnsi="Times New Roman"/>
                      <w:sz w:val="20"/>
                      <w:szCs w:val="20"/>
                    </w:rPr>
                    <w:br/>
                    <w:t xml:space="preserve">2. Chemistry, Georgia College and State University, St Simons Island,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rising popularity of electronic cigarettes and the congruent lack of regulations is cause for concern. Electronic cigarettes contain a heating mechanism which vaporizes a mixture of propylene glycol with flavoring compounds and nicotine.</w:t>
                  </w:r>
                  <w:r w:rsidRPr="001F5B5C">
                    <w:rPr>
                      <w:rFonts w:ascii="Times New Roman" w:eastAsia="Times New Roman" w:hAnsi="Times New Roman"/>
                      <w:sz w:val="20"/>
                      <w:szCs w:val="20"/>
                      <w:vertAlign w:val="superscript"/>
                    </w:rPr>
                    <w:t xml:space="preserve">1 </w:t>
                  </w:r>
                  <w:r w:rsidRPr="001F5B5C">
                    <w:rPr>
                      <w:rFonts w:ascii="Times New Roman" w:eastAsia="Times New Roman" w:hAnsi="Times New Roman"/>
                      <w:sz w:val="20"/>
                      <w:szCs w:val="20"/>
                    </w:rPr>
                    <w:t>Electronic cigarette vapor is known to contain some of the same harmful compounds as traditional cigarettes, including volatile organic compounds such as acrolein.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Environmental Tobacco Smoke (ETS) encompasses second-hand, side-stream, and third-hand smoke, which is when harmful chemicals from smoke are absorbed into cloth. Volatile organic compounds found in ETS are identified by analyzing the headspace of cloth samples exposed to electronic cigarette vapor via gas chromatography/mass spectrometry (GC/MS). This presentation summarizes the experimental design and qualitative results.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McCoy, M. The Nicotine Fix For E-Cigarettes. </w:t>
                  </w:r>
                  <w:r w:rsidRPr="001F5B5C">
                    <w:rPr>
                      <w:rFonts w:ascii="Times New Roman" w:eastAsia="Times New Roman" w:hAnsi="Times New Roman"/>
                      <w:i/>
                      <w:iCs/>
                      <w:sz w:val="20"/>
                      <w:szCs w:val="20"/>
                    </w:rPr>
                    <w:t>Chemical &amp; Engineering News Archive.</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2014</w:t>
                  </w:r>
                  <w:r w:rsidRPr="001F5B5C">
                    <w:rPr>
                      <w:rFonts w:ascii="Times New Roman" w:eastAsia="Times New Roman" w:hAnsi="Times New Roman"/>
                      <w:sz w:val="20"/>
                      <w:szCs w:val="20"/>
                    </w:rPr>
                    <w:t xml:space="preserve"> 92 (14), 24-25</w:t>
                  </w:r>
                  <w:r w:rsidRPr="001F5B5C">
                    <w:rPr>
                      <w:rFonts w:ascii="Times New Roman" w:eastAsia="Times New Roman" w:hAnsi="Times New Roman"/>
                      <w:sz w:val="20"/>
                      <w:szCs w:val="20"/>
                    </w:rPr>
                    <w:br/>
                    <w:t>DOI: 10.1021/cen-09214-bus2 [accessed 2015 Aug 6]</w:t>
                  </w:r>
                  <w:r w:rsidRPr="001F5B5C">
                    <w:rPr>
                      <w:rFonts w:ascii="Times New Roman" w:eastAsia="Times New Roman" w:hAnsi="Times New Roman"/>
                      <w:sz w:val="20"/>
                      <w:szCs w:val="20"/>
                    </w:rPr>
                    <w:br/>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Lockwood, D. Controversy Clouds E-Cigarettes. </w:t>
                  </w:r>
                  <w:r w:rsidRPr="001F5B5C">
                    <w:rPr>
                      <w:rFonts w:ascii="Times New Roman" w:eastAsia="Times New Roman" w:hAnsi="Times New Roman"/>
                      <w:i/>
                      <w:iCs/>
                      <w:sz w:val="20"/>
                      <w:szCs w:val="20"/>
                    </w:rPr>
                    <w:t>Chemical &amp; Engineering News Archive</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2014</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92</w:t>
                  </w:r>
                  <w:r w:rsidRPr="001F5B5C">
                    <w:rPr>
                      <w:rFonts w:ascii="Times New Roman" w:eastAsia="Times New Roman" w:hAnsi="Times New Roman"/>
                      <w:sz w:val="20"/>
                      <w:szCs w:val="20"/>
                    </w:rPr>
                    <w:t xml:space="preserve"> (10), 32-33</w:t>
                  </w:r>
                  <w:r w:rsidRPr="001F5B5C">
                    <w:rPr>
                      <w:rFonts w:ascii="Times New Roman" w:eastAsia="Times New Roman" w:hAnsi="Times New Roman"/>
                      <w:sz w:val="20"/>
                      <w:szCs w:val="20"/>
                    </w:rPr>
                    <w:br/>
                    <w:t>DOI: 10.1021/cen-09210-scitech1 [accessed 2015 Aug 6]</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2360251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Determination of protein binding constants of epigallocatechin-3-gallate (EGCG) with rapid equilibrium dialysis and LC/MS/MS analysis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Lincoln Shade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lmshade@mail.lipscomb.edu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Lincoln Shade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Matthew J. Vergne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Lipscomb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Tea is the second most consumed beverage in the world behind water. Catechins are polyphenols with antioxidant properties found in high amounts in tea, especially green tea. Green tea beverages and dietary supplements containing green tea extracts are often marketed for health benefits. The most abundant catechin in tea is epigallocatechin-3-gallate (EGCG). While EGCG has a high amount of antioxidant activity compared to other catechins in tea, it is also believed to have the least bioavailability due to protein binding. We sought to measure protein binding using an in vitro rapid equilibrium dialysis method. Post dialysis, EGCG concentrations were measured with a reverse phase gradient elution liquid chromatography-tandem mass spectrometry (LC/MS/MS) method with a 4 minute cycle time. EGCG binding constants will be measured by dialysis of human blank-pooled serum, human serum albumin (HSA), and human α1-acid glycoprotein (AAG).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2360884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Method Development and Optimization for Detection of Cyanide Antidote Sulfur Donor X (SDX) by Use of Gas Chromatography - Mass Spectrometry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James Ross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jtr494@gmail.com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James Ross</w:t>
                  </w:r>
                  <w:r w:rsidRPr="001F5B5C">
                    <w:rPr>
                      <w:rFonts w:ascii="Times New Roman" w:eastAsia="Times New Roman" w:hAnsi="Times New Roman"/>
                      <w:sz w:val="20"/>
                      <w:szCs w:val="20"/>
                      <w:vertAlign w:val="superscript"/>
                    </w:rPr>
                    <w:t>6</w:t>
                  </w:r>
                  <w:r w:rsidRPr="001F5B5C">
                    <w:rPr>
                      <w:rFonts w:ascii="Times New Roman" w:eastAsia="Times New Roman" w:hAnsi="Times New Roman"/>
                      <w:sz w:val="20"/>
                      <w:szCs w:val="20"/>
                    </w:rPr>
                    <w:t>, Ching-En Chou</w:t>
                  </w:r>
                  <w:r w:rsidRPr="001F5B5C">
                    <w:rPr>
                      <w:rFonts w:ascii="Times New Roman" w:eastAsia="Times New Roman" w:hAnsi="Times New Roman"/>
                      <w:sz w:val="20"/>
                      <w:szCs w:val="20"/>
                      <w:vertAlign w:val="superscript"/>
                    </w:rPr>
                    <w:t>6</w:t>
                  </w:r>
                  <w:r w:rsidRPr="001F5B5C">
                    <w:rPr>
                      <w:rFonts w:ascii="Times New Roman" w:eastAsia="Times New Roman" w:hAnsi="Times New Roman"/>
                      <w:sz w:val="20"/>
                      <w:szCs w:val="20"/>
                    </w:rPr>
                    <w:t>, Xinmei Dong</w:t>
                  </w:r>
                  <w:r w:rsidRPr="001F5B5C">
                    <w:rPr>
                      <w:rFonts w:ascii="Times New Roman" w:eastAsia="Times New Roman" w:hAnsi="Times New Roman"/>
                      <w:sz w:val="20"/>
                      <w:szCs w:val="20"/>
                      <w:vertAlign w:val="superscript"/>
                    </w:rPr>
                    <w:t>5</w:t>
                  </w:r>
                  <w:r w:rsidRPr="001F5B5C">
                    <w:rPr>
                      <w:rFonts w:ascii="Times New Roman" w:eastAsia="Times New Roman" w:hAnsi="Times New Roman"/>
                      <w:sz w:val="20"/>
                      <w:szCs w:val="20"/>
                    </w:rPr>
                    <w:t>, Valerie Coronado</w:t>
                  </w:r>
                  <w:r w:rsidRPr="001F5B5C">
                    <w:rPr>
                      <w:rFonts w:ascii="Times New Roman" w:eastAsia="Times New Roman" w:hAnsi="Times New Roman"/>
                      <w:sz w:val="20"/>
                      <w:szCs w:val="20"/>
                      <w:vertAlign w:val="superscript"/>
                    </w:rPr>
                    <w:t>6</w:t>
                  </w:r>
                  <w:r w:rsidRPr="001F5B5C">
                    <w:rPr>
                      <w:rFonts w:ascii="Times New Roman" w:eastAsia="Times New Roman" w:hAnsi="Times New Roman"/>
                      <w:sz w:val="20"/>
                      <w:szCs w:val="20"/>
                    </w:rPr>
                    <w:t>, Denise Brown</w:t>
                  </w:r>
                  <w:r w:rsidRPr="001F5B5C">
                    <w:rPr>
                      <w:rFonts w:ascii="Times New Roman" w:eastAsia="Times New Roman" w:hAnsi="Times New Roman"/>
                      <w:sz w:val="20"/>
                      <w:szCs w:val="20"/>
                      <w:vertAlign w:val="superscript"/>
                    </w:rPr>
                    <w:t>6</w:t>
                  </w:r>
                  <w:r w:rsidRPr="001F5B5C">
                    <w:rPr>
                      <w:rFonts w:ascii="Times New Roman" w:eastAsia="Times New Roman" w:hAnsi="Times New Roman"/>
                      <w:sz w:val="20"/>
                      <w:szCs w:val="20"/>
                    </w:rPr>
                    <w:t>, Brooke A. Mendenhall</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Reny J. Roy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Lorand Kiss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David E. Thompson</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Ilona Petrikovics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Chemistry/2117, SHSU, Huntsville, TX, United States. </w:t>
                  </w:r>
                  <w:r w:rsidRPr="001F5B5C">
                    <w:rPr>
                      <w:rFonts w:ascii="Times New Roman" w:eastAsia="Times New Roman" w:hAnsi="Times New Roman"/>
                      <w:sz w:val="20"/>
                      <w:szCs w:val="20"/>
                    </w:rPr>
                    <w:br/>
                    <w:t xml:space="preserve">2. </w:t>
                  </w:r>
                  <w:proofErr w:type="gramStart"/>
                  <w:r w:rsidRPr="001F5B5C">
                    <w:rPr>
                      <w:rFonts w:ascii="Times New Roman" w:eastAsia="Times New Roman" w:hAnsi="Times New Roman"/>
                      <w:sz w:val="20"/>
                      <w:szCs w:val="20"/>
                    </w:rPr>
                    <w:t>Chemistry ,</w:t>
                  </w:r>
                  <w:proofErr w:type="gramEnd"/>
                  <w:r w:rsidRPr="001F5B5C">
                    <w:rPr>
                      <w:rFonts w:ascii="Times New Roman" w:eastAsia="Times New Roman" w:hAnsi="Times New Roman"/>
                      <w:sz w:val="20"/>
                      <w:szCs w:val="20"/>
                    </w:rPr>
                    <w:t xml:space="preserve"> Sam Houston State Univ, Huntsville, TX, United States. </w:t>
                  </w:r>
                  <w:r w:rsidRPr="001F5B5C">
                    <w:rPr>
                      <w:rFonts w:ascii="Times New Roman" w:eastAsia="Times New Roman" w:hAnsi="Times New Roman"/>
                      <w:sz w:val="20"/>
                      <w:szCs w:val="20"/>
                    </w:rPr>
                    <w:br/>
                    <w:t xml:space="preserve">3. Chemistry, Sam Houston State University, Friendswood, TX, United States. </w:t>
                  </w:r>
                  <w:r w:rsidRPr="001F5B5C">
                    <w:rPr>
                      <w:rFonts w:ascii="Times New Roman" w:eastAsia="Times New Roman" w:hAnsi="Times New Roman"/>
                      <w:sz w:val="20"/>
                      <w:szCs w:val="20"/>
                    </w:rPr>
                    <w:br/>
                    <w:t xml:space="preserve">4. Department of Chemistry, Sam Houston State University, Huntsville, TX, United States. </w:t>
                  </w:r>
                  <w:r w:rsidRPr="001F5B5C">
                    <w:rPr>
                      <w:rFonts w:ascii="Times New Roman" w:eastAsia="Times New Roman" w:hAnsi="Times New Roman"/>
                      <w:sz w:val="20"/>
                      <w:szCs w:val="20"/>
                    </w:rPr>
                    <w:br/>
                    <w:t xml:space="preserve">5. </w:t>
                  </w:r>
                  <w:proofErr w:type="gramStart"/>
                  <w:r w:rsidRPr="001F5B5C">
                    <w:rPr>
                      <w:rFonts w:ascii="Times New Roman" w:eastAsia="Times New Roman" w:hAnsi="Times New Roman"/>
                      <w:sz w:val="20"/>
                      <w:szCs w:val="20"/>
                    </w:rPr>
                    <w:t>chemistry</w:t>
                  </w:r>
                  <w:proofErr w:type="gramEnd"/>
                  <w:r w:rsidRPr="001F5B5C">
                    <w:rPr>
                      <w:rFonts w:ascii="Times New Roman" w:eastAsia="Times New Roman" w:hAnsi="Times New Roman"/>
                      <w:sz w:val="20"/>
                      <w:szCs w:val="20"/>
                    </w:rPr>
                    <w:t xml:space="preserve">, Sam Houston State University, Huntsville, TX, United States. </w:t>
                  </w:r>
                  <w:r w:rsidRPr="001F5B5C">
                    <w:rPr>
                      <w:rFonts w:ascii="Times New Roman" w:eastAsia="Times New Roman" w:hAnsi="Times New Roman"/>
                      <w:sz w:val="20"/>
                      <w:szCs w:val="20"/>
                    </w:rPr>
                    <w:br/>
                    <w:t xml:space="preserve">6. Chemistry, Sam Houston State Univesity, Huntsville,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Cyanide (CN) is a toxic agent and it can be found in many foods (cherries, apples, almonds, etc.) and people can be exposed to CN during a fire. The human body has a natural defense for CN intoxication through the enzyme rhodanese, which converts CN into a less toxic anion, thiocyanate by using sulfur donors. However, the sulfur donor will be depleted when high exposure to CN is involved. While antidotes are available, there are limitations to their efficacy. Through Dr. Petrikovics lab, a new antidote, sulfur donor X (SDX) was found and an intramuscular formulation was developed to treat CN intoxication. Our aim was to develop a detection method for the SDX from mice brains by using gas chromatography-mass spectrometry (GC-MS). SDX was detected from the head space above a brain sample using solid phase microextraction onto a polydimethylsiloxane (PDMS) fiber. Sample preparation and the MS detection were optimized. The mice brains were homogenized in water, 15% Polysorbate 80, and ethanol. Ethanol proved to be the best solvent for SDX detection. Stirring during the incubation of PDMS fiber in the head space improved analyte recovery times, but sodium chloride addition did not. Ten suitable ions were selected for mass spectrometric detection. A calibration curve was prepared in 0-60 µg/ml concentration range for SDX recovered from brain homogenate. The goodness-of-fit (R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was 0.9986, and the limit of detection was 0.28µg/ml. This detection method is suitable for future </w:t>
                  </w:r>
                  <w:r w:rsidRPr="001F5B5C">
                    <w:rPr>
                      <w:rFonts w:ascii="Times New Roman" w:eastAsia="Times New Roman" w:hAnsi="Times New Roman"/>
                      <w:i/>
                      <w:iCs/>
                      <w:sz w:val="20"/>
                      <w:szCs w:val="20"/>
                    </w:rPr>
                    <w:t>in vivo</w:t>
                  </w:r>
                  <w:r w:rsidRPr="001F5B5C">
                    <w:rPr>
                      <w:rFonts w:ascii="Times New Roman" w:eastAsia="Times New Roman" w:hAnsi="Times New Roman"/>
                      <w:sz w:val="20"/>
                      <w:szCs w:val="20"/>
                    </w:rPr>
                    <w:t xml:space="preserve"> studies.</w:t>
                  </w:r>
                  <w:r w:rsidRPr="001F5B5C">
                    <w:rPr>
                      <w:rFonts w:ascii="Times New Roman" w:eastAsia="Times New Roman" w:hAnsi="Times New Roman"/>
                      <w:sz w:val="20"/>
                      <w:szCs w:val="20"/>
                    </w:rPr>
                    <w:br/>
                    <w:t>The study was funded by the Robert A. Welch Foundation at Sam Houston State University (x-0011) and the USAMRICD (Contract No.W911NF-11-D-0001).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2362481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Surveillance of Anions in Natural Water Determined by Ion Chromatography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Caroline Naylor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cnnaylor1@catamount.wcu.edu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Caroline Naylor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Scott W. Huffman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Western Carolina University, Cullowhee, NC, United States. </w:t>
                  </w:r>
                  <w:r w:rsidRPr="001F5B5C">
                    <w:rPr>
                      <w:rFonts w:ascii="Times New Roman" w:eastAsia="Times New Roman" w:hAnsi="Times New Roman"/>
                      <w:sz w:val="20"/>
                      <w:szCs w:val="20"/>
                    </w:rPr>
                    <w:br/>
                    <w:t xml:space="preserve">2. Western Carolina University, Cullowhee,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Natural waters have been shown to contain trace amounts of anions which vary depending on geographic region. These anions can be indicative of the health of the region; for example, perchlorate, a substance possibly toxic to humans, has been found in water sources in some western states due to runoff from rocket propellants. We are interested in surveying the southern Appalachian regions to probe the health of the environment surrounding local rivers, creeks, and lakes by monitoring the type and the amount of anions with ion chromatography (IC).</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For this project, we venture to local water sources and collect samples which are subsequently analyzed on the IC system. We have determined the detection limits and retention times and formed calibration curves for several anions to form a library. As we have monitored the anions over time, we noticed an increase in the sulfate concentrations in local waters that coincided with leaf fall last autumn. We hypothesized that the leaves were the source of the sulfate. To test our hypothesis, we soaked some leaves harvested from the ground in ultrapure water over a span of two months and periodically analyzed the supernatant. We found an initial increase and eventual plateau in concentration of sulfate relative to the other anions in the supernatant. These results suggest that the sulfate was originating from the leaves, and a fixed amount was entering the water and remaining in solution. In natural waters, these results suggest that a fixed amount of sulfate should enter the water during the autumn months and remain until it washes downstream. Additional experiments were conducted after the initial observation to further explore the source and pervasiveness of the sulfate from the leaves. For example, we compared ultrapure water and river water to digest the leaves, we compared leaves that were living on the tree to leaves that had fallen, and compared the differences in location of leaf harvesting. Results from our studies on the leaves will be presented as well as other data from the water systems of the southern Appalachian region.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2363113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Automated Spectrophotometric Titrations: Seeing The Unseen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Macon Acuff</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sml596@mocs.utc.edu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Macon B. Acuff</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John A. Lynch</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 of Tennessee, Chattanooga, TN, United States. </w:t>
                  </w:r>
                  <w:r w:rsidRPr="001F5B5C">
                    <w:rPr>
                      <w:rFonts w:ascii="Times New Roman" w:eastAsia="Times New Roman" w:hAnsi="Times New Roman"/>
                      <w:sz w:val="20"/>
                      <w:szCs w:val="20"/>
                    </w:rPr>
                    <w:br/>
                    <w:t xml:space="preserve">2. Chemistry, University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Titrations and Beer’s law determinations are two of the most routine and powerful tools for quantitation. Contemporary technology makes the titration mixing and spectrophotometric measuring a real-time process. Major off-the-shelf components used to provide this capability were an Ocean Optics UV/vis spectrometer, an f100 Chemyx syringe pump, and Reactlab Equilibria software from J-Plus. To test </w:t>
                  </w:r>
                  <w:proofErr w:type="gramStart"/>
                  <w:r w:rsidRPr="001F5B5C">
                    <w:rPr>
                      <w:rFonts w:ascii="Times New Roman" w:eastAsia="Times New Roman" w:hAnsi="Times New Roman"/>
                      <w:sz w:val="20"/>
                      <w:szCs w:val="20"/>
                    </w:rPr>
                    <w:t>this system 2mL mixtures</w:t>
                  </w:r>
                  <w:proofErr w:type="gramEnd"/>
                  <w:r w:rsidRPr="001F5B5C">
                    <w:rPr>
                      <w:rFonts w:ascii="Times New Roman" w:eastAsia="Times New Roman" w:hAnsi="Times New Roman"/>
                      <w:sz w:val="20"/>
                      <w:szCs w:val="20"/>
                    </w:rPr>
                    <w:t xml:space="preserve"> of Co</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and Zn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were titrated with EDTA while collecting spectra every second. Formation of the cobalt complex produces an absorbance change but the zinc complex is only evident by its indirect effect on the timeline for the formation of the cobalt complex. Nevertheless, the matrix algebra treatment of the time, wavelength and absorbance data produced using Reactlab Equilibria resulted in excellent reaction profiles and quantitation of both reactants. These results show that titrations lasting a mere 100 seconds are capable of providing a complete chemical accounting even when some species are experimentally cloaked.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2363853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Aspartame in Diet Coke using Solid Phase Extraction and HPLC</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Matthew Lersch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matthew.s.lersch@email.shc.edu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Matthew S. Lersch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Carolyn R. Simmons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Spring Hill College, Mobile,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method to extract and quantitatively analyze aspartame in diet soda samples was developed by a summer undergraduate research student. This method will later be utilized by students enrolled in an upper level Instrumental Analysis course. Solid phase extraction using reversed-phase C-18 packing was used to extract aspartame from an aqueous sample. Both acetonitrile/pH 3 buffer and methanol/pH 3 buffer eluents were evaluated for their elution efficiency. The eluate containing aspartame was then analyzed and quantified by reversed-phase HPLC. Initial results using aqueous standards indicated a 95-99% recovery. Results from diet soda samples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0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2365470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Investigation of novel hydrogen bond donors and halogens in Deep Eutectic Solvents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Sydney Schmitz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sydney.schmitz@jacks.sdstate.edu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Sydney Schmitz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Sampson Asare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Douglas E. Raynie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Biochem, South Dakota State University, Brookings, SD,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Deep eutectic solvents (DES), formed by mixing a choline salt with a hydrogen bond donor, such as water, show unexpected physical properties such as extremely low melting points and endothermic reaction states. These solvents are currently used in the purification of biofuels and as an environmentally friendly alternative to solvents used in organic chemistry. The most commonly studied composition of eutectics has been glycerol, urea, and water as hydrogen bond donors and choline chloride as the halogen/choline atom. This research focused on finding alternative hydrogen bond donors, namely alcohols, as well as alternative choline halides: choline bromide and choline iodide. Mixtures of water, ethanol, and methanol as hydrogen bond donors with choline bromide, choline iodide, and choline chloride were analyzed with constant-pressure calorimetry and differential scanning calorimetry (DSC). The melting points were observed by bringing the solvents to freezing and monitoring the temperature in a series of trials. The formation of all the potential DES in the experiment was an endothermic process, with the exception of the choline iodide/ethanol combination. The heat of formation was largest in the samples in which water was the hydrogen bond donor, and smallest in the samples in with ethanol. There was an interaction observed in all of the samples, indicating the possibility of a eutectic formation. There was a significant depression in the expected melting point in all of the samples where water was used as a hydrogen bond donor, indicating a unique interaction in these samples but not necessarily in samples with other hydrogen bond donors.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2366409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Uptake and Release Studies of the Biocides Polyhexamethylene Biguanide and Alexidine on Contact Lenses Utilizing Ultra Performance Liquid Chromatography and Mass Spectrometry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Mahmood Syed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msyed@furman.edu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Mahmood Syed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Jonathan M. Wheeler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Sandra Wheeler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Wheeler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Greenville, SC, United States. </w:t>
                  </w:r>
                  <w:r w:rsidRPr="001F5B5C">
                    <w:rPr>
                      <w:rFonts w:ascii="Times New Roman" w:eastAsia="Times New Roman" w:hAnsi="Times New Roman"/>
                      <w:sz w:val="20"/>
                      <w:szCs w:val="20"/>
                    </w:rPr>
                    <w:br/>
                    <w:t xml:space="preserve">2.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Biocides have become increasingly popular antimicrobial agents over the past few years due to both the increasing resistance of bacteria to traditional antibiotics and the broad range of applicability that biocides exhibit. Therefore, it has become necessary to characterize the activity of these biocides to fully understand their underlying properties. Two of these substances, the polycationic biocides polyhexamethylene biguanide (PHMB) and alexidine dihydrochloride, are among the most commonly observed in the market today, particularly in commercial multipurpose solutions (MPS) for contact lens care. Alexidine exhibits a single cationic structure while PHMB is actually a complex, polydispersed mixture. Using ultra-performance liquid chromatography (UPLC) and Mass Spectrometry (MS), analytical techniques have been developed for the analysis and quantitation of both alexidine and PHMB. Furthermore, we have conducted uptake and release studies for both PHMB and alexidine in an effort to elucidate the mechanisms of interaction with various contact lens materials.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2366716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Determination of Appalachian Stream Health in the Maryville College Woods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Bethany Evans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bethany.evans@my.maryvillecollege.edu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Bethany Evans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Nathan Duncan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w:t>
                  </w:r>
                  <w:proofErr w:type="gramStart"/>
                  <w:r w:rsidRPr="001F5B5C">
                    <w:rPr>
                      <w:rFonts w:ascii="Times New Roman" w:eastAsia="Times New Roman" w:hAnsi="Times New Roman"/>
                      <w:sz w:val="20"/>
                      <w:szCs w:val="20"/>
                    </w:rPr>
                    <w:t>Chemistry ,</w:t>
                  </w:r>
                  <w:proofErr w:type="gramEnd"/>
                  <w:r w:rsidRPr="001F5B5C">
                    <w:rPr>
                      <w:rFonts w:ascii="Times New Roman" w:eastAsia="Times New Roman" w:hAnsi="Times New Roman"/>
                      <w:sz w:val="20"/>
                      <w:szCs w:val="20"/>
                    </w:rPr>
                    <w:t xml:space="preserve"> Maryville College, Maryville, TN, United States. </w:t>
                  </w:r>
                  <w:r w:rsidRPr="001F5B5C">
                    <w:rPr>
                      <w:rFonts w:ascii="Times New Roman" w:eastAsia="Times New Roman" w:hAnsi="Times New Roman"/>
                      <w:sz w:val="20"/>
                      <w:szCs w:val="20"/>
                    </w:rPr>
                    <w:br/>
                    <w:t xml:space="preserve">2. Natural Sciences, Maryville College, Knoxville,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There is a 140 acre plot of land on the Maryville College campus that is known as the college woods. The creeks that run through the college woods are Duncan’s Branch and Brown’s Creek, and these streams combine near one edge of the end of the woods. The stream health of the Maryville College woods was studied in 2014; it was concluded that more sensitive macroinvertebrates were able to survive downstream of the creek than upstream. Therefore, it was hypothesized that the stream was becoming less polluted as it ran through the college woods. Sampling sites were marked along these three sections: along Duncan’s Branch, along Brown’s Creek, and along the combined stream. Collection of samples occurred as often as was permitted; ideally, samples were collected on a weekly basis. The pH, conductivity, dissolved oxygen, and temperature readings were recorded at each sampling site with </w:t>
                  </w:r>
                  <w:proofErr w:type="gramStart"/>
                  <w:r w:rsidRPr="001F5B5C">
                    <w:rPr>
                      <w:rFonts w:ascii="Times New Roman" w:eastAsia="Times New Roman" w:hAnsi="Times New Roman"/>
                      <w:sz w:val="20"/>
                      <w:szCs w:val="20"/>
                    </w:rPr>
                    <w:t>a</w:t>
                  </w:r>
                  <w:proofErr w:type="gramEnd"/>
                  <w:r w:rsidRPr="001F5B5C">
                    <w:rPr>
                      <w:rFonts w:ascii="Times New Roman" w:eastAsia="Times New Roman" w:hAnsi="Times New Roman"/>
                      <w:sz w:val="20"/>
                      <w:szCs w:val="20"/>
                    </w:rPr>
                    <w:t xml:space="preserve"> YSI-Pro Plus probe during each sample collection. Water and soil samples were collected from each site. The water samples were tested for ammonium, nitrate, calcium, and pH using Vernier probes and LoggerPro software; the water samples were also tested using ion chromatography. The soil samples were tested for calcium, barium, cadmium, and lead using flame atomic absorbance spectroscopy.</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2366740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Size characterization and alternative synthesis of monolayer-protected quantum dots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Emily Shriner | Deon Miles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shrinea0@sewanee.edu | dmiles@sewanee.edu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William L. Wright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Sonia C. Francone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Luis R. Tinoco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Fernando E. Acosta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Emily A. Shriner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Deon T. Miles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Sewanee Univ of The South, Sewanee,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Water-soluble, monolayer-protected quantum dots (QDs) were synthesized using several water-soluble thiols and alternative metal salts (e.g., cadmium acetate, zinc sulfate). QDs were synthesized at temperatures as low as -47 °C in attempts to control the growth of the nanoparticles. The optical properties of QD solutions were characterized using UV-visible and fluorescence spectroscopies. The hydrodynamic radius of the QDs was determined using 2D NMR techniques. From the NMR experiments, the diffusion coefficient of the nanoparticles, in concert with a small reference molecule (ferrocene), was determined. Subsequently, the size of the nanoparticles was calculated using a modified version of the Stokes-Einstein equation. This work is funded, in part, by the National Science Foundation (CHE-1126231).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2367105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Correlation Between Different Extraction Methods and the Ratio of Neral to Geranial in the Essential oils of Lemongrass.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Skyler Mize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smize4@students.kennesaw.edu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Skyler G. Mize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kennesaw state university, Woodstock,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Citral is a compound that is found in the essential oils of the lemongrass plant. Citral contains two different isomers, </w:t>
                  </w:r>
                  <w:proofErr w:type="gramStart"/>
                  <w:r w:rsidRPr="001F5B5C">
                    <w:rPr>
                      <w:rFonts w:ascii="Times New Roman" w:eastAsia="Times New Roman" w:hAnsi="Times New Roman"/>
                      <w:sz w:val="20"/>
                      <w:szCs w:val="20"/>
                    </w:rPr>
                    <w:t>neral(</w:t>
                  </w:r>
                  <w:proofErr w:type="gramEnd"/>
                  <w:r w:rsidRPr="001F5B5C">
                    <w:rPr>
                      <w:rFonts w:ascii="Times New Roman" w:eastAsia="Times New Roman" w:hAnsi="Times New Roman"/>
                      <w:sz w:val="20"/>
                      <w:szCs w:val="20"/>
                    </w:rPr>
                    <w:t>Z) and geranial(E). The purpose of these experiments is to investigate the effects that different extraction methods, and dilutions have on the citral in a sample of lemongrass. The extracts were diluted in organic solvent to different concentrations, and the first two samples were steam distilled multiple times. Diluting a sample results in a larger ratio of E/Z. The three different extraction types analyzed were steam distillation, solvent soak with exposure to the sun, and solvent soak in a cool, dark, well ventilated place. The results from the GC-MS provide data that supports the fact that as the energy in the extraction increases, the more geranial is converted to neral. More energy in the extraction causes the keto-enol form allowing the isomers to interconvert. This is represented by in increase in ratio of Z/E as the energy in the extraction increases. Different extraction methods should be used depending on weather more neral or geranial is desired.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2367704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i/>
                      <w:iCs/>
                      <w:sz w:val="20"/>
                      <w:szCs w:val="20"/>
                    </w:rPr>
                    <w:t>Evaluating the use of dicationic pairing reagents for detecting alkylsulfonates by paired-ion electrospray ionization mass spectrometry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Roman Travis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rtravis1@samford.edu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Roman Travis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Brian W. Gregory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Samford University, Birmingham,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Research in this group has recently focused on examining the requirements necessary for using electrospray ionization ion trap mass spectrometry (ESI-IT-MS) as a </w:t>
                  </w:r>
                  <w:r w:rsidRPr="001F5B5C">
                    <w:rPr>
                      <w:rFonts w:ascii="Times New Roman" w:eastAsia="Times New Roman" w:hAnsi="Times New Roman"/>
                      <w:i/>
                      <w:iCs/>
                      <w:sz w:val="20"/>
                      <w:szCs w:val="20"/>
                    </w:rPr>
                    <w:t>quantitative</w:t>
                  </w:r>
                  <w:r w:rsidRPr="001F5B5C">
                    <w:rPr>
                      <w:rFonts w:ascii="Times New Roman" w:eastAsia="Times New Roman" w:hAnsi="Times New Roman"/>
                      <w:sz w:val="20"/>
                      <w:szCs w:val="20"/>
                    </w:rPr>
                    <w:t xml:space="preserve"> tool to study the composition of mixed alkanethiol self-assembled monolayers (SAMs). Given the low numbers of analyte species that are typically produced upon oxidative desorption into the effluent, the relatively high detection limits of many standard benchtop IT mass spectrometers have generally limited their use in such studies. In the work presented here, ion pairing between the oxidation products of these SAMs (alkylsulfonic acids) and a dicationic ion pairing agent (1,9-nonanediyl-bis(3-methylimidazolium cation)) was examined to determine if adduct formation occurred and whether the resulting adducts could be detected at concentrations commensurate with those expected from SAM desorption. Data will be presented demonstrating the utility of this approach.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2367887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Validation of Separated Hemoglobin Variants A, F, S, C</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Anita Afshari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aniafsh@ut.utm.edu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Robbie Montgomery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Anita Afshari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Martin, Martin,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Dynamic IEF is a new method related to capillary isoelectric focusing that can provide good resolution and separation capabilities by controlling the shape of the electric field using additional high voltage power supplies. Both the location and width of the focused protein bands can be controlled by manipulation of the electric field. Current research focuses on demonstrating and improving the performance characteristics of the system. Hemoglobin variants A, F, S, </w:t>
                  </w:r>
                  <w:proofErr w:type="gramStart"/>
                  <w:r w:rsidRPr="001F5B5C">
                    <w:rPr>
                      <w:rFonts w:ascii="Times New Roman" w:eastAsia="Times New Roman" w:hAnsi="Times New Roman"/>
                      <w:sz w:val="20"/>
                      <w:szCs w:val="20"/>
                    </w:rPr>
                    <w:t>C</w:t>
                  </w:r>
                  <w:proofErr w:type="gramEnd"/>
                  <w:r w:rsidRPr="001F5B5C">
                    <w:rPr>
                      <w:rFonts w:ascii="Times New Roman" w:eastAsia="Times New Roman" w:hAnsi="Times New Roman"/>
                      <w:sz w:val="20"/>
                      <w:szCs w:val="20"/>
                    </w:rPr>
                    <w:t xml:space="preserve"> have been separated using dynamic IEF to illustrate that this method has the same separation capabilities as capillary IEF. In order to establish what variant has been separated, the four variant standards have been digested and analyzed using gel electrophoresis and ESI-MS.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2367889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Automation of Dynamic Isoelectric Focusing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Drake Williams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drahwill@ut.utm.edu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Robbie Montgomery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Drake Williams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Martin, Martin, TN, United States. </w:t>
                  </w:r>
                  <w:r w:rsidRPr="001F5B5C">
                    <w:rPr>
                      <w:rFonts w:ascii="Times New Roman" w:eastAsia="Times New Roman" w:hAnsi="Times New Roman"/>
                      <w:sz w:val="20"/>
                      <w:szCs w:val="20"/>
                    </w:rPr>
                    <w:br/>
                    <w:t xml:space="preserve">2. University of Tennessee Martin, Martin,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complex nature of the proteome requires separation methods capable of separating a large number of proteins in order to permit comprehensive analyses. Dynamic IEF is a new method related to capillary isoelectric focusing that can provide excellent resolution and separation capabilities by controlling the shape of the electric field using additional high voltage power supplies. Both the location and width of the focused protein bands can be controlled by manipulation of the electric field.</w:t>
                  </w:r>
                  <w:r w:rsidRPr="001F5B5C">
                    <w:rPr>
                      <w:rFonts w:ascii="Times New Roman" w:eastAsia="Times New Roman" w:hAnsi="Times New Roman"/>
                      <w:sz w:val="20"/>
                      <w:szCs w:val="20"/>
                    </w:rPr>
                    <w:br/>
                    <w:t>Current research utilizing dynamic IEF focuses on automating the system using an integrated switching valve to remove the focused protein bands. The use of an injector allows dynamic IEF to be coupled to a second dimension with minimal effort while maintaining resolution. Dynamic IEF allows for a focused protein band to be isolated, removed, and analyzed by a second dimension, such as LC-MS, while the rest of the system is concurrently focusing another protein fraction.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2367927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of a Turkey DNA Allele Frequency Database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Dacotah Faught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dacrfaug@ut.utm.edu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Mike Stockdale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Dacotah Faught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Martin, Martin,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Data for a forensic DNA database for eastern turkey (</w:t>
                  </w:r>
                  <w:r w:rsidRPr="001F5B5C">
                    <w:rPr>
                      <w:rFonts w:ascii="Times New Roman" w:eastAsia="Times New Roman" w:hAnsi="Times New Roman"/>
                      <w:i/>
                      <w:iCs/>
                      <w:sz w:val="20"/>
                      <w:szCs w:val="20"/>
                    </w:rPr>
                    <w:t>Meleagris gallopavo</w:t>
                  </w:r>
                  <w:r w:rsidRPr="001F5B5C">
                    <w:rPr>
                      <w:rFonts w:ascii="Times New Roman" w:eastAsia="Times New Roman" w:hAnsi="Times New Roman"/>
                      <w:sz w:val="20"/>
                      <w:szCs w:val="20"/>
                    </w:rPr>
                    <w:t xml:space="preserve">) in Tennessee is examined. PCR reactions involving 13 loci were used to analyze samples from 179 </w:t>
                  </w:r>
                  <w:proofErr w:type="gramStart"/>
                  <w:r w:rsidRPr="001F5B5C">
                    <w:rPr>
                      <w:rFonts w:ascii="Times New Roman" w:eastAsia="Times New Roman" w:hAnsi="Times New Roman"/>
                      <w:sz w:val="20"/>
                      <w:szCs w:val="20"/>
                    </w:rPr>
                    <w:t>turkey</w:t>
                  </w:r>
                  <w:proofErr w:type="gramEnd"/>
                  <w:r w:rsidRPr="001F5B5C">
                    <w:rPr>
                      <w:rFonts w:ascii="Times New Roman" w:eastAsia="Times New Roman" w:hAnsi="Times New Roman"/>
                      <w:sz w:val="20"/>
                      <w:szCs w:val="20"/>
                    </w:rPr>
                    <w:t xml:space="preserve"> collected from across Tennessee. Results indicate the tests and database are appropriate for forensic applications in Tennessee. This database is also applicable for forensic applications in adjacent states which do not have a database for eastern turkey.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2368028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e-liquids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Timothy Turner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timothybull15@gmail.com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Timothy Turner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Alyx Frantzen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Chemistry/Biochemistry, Stephen F. Austin State University, Nacogdoches,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With the increasing research on the dangers of cigarettes, people are looking for a safer alternative to smoking. Electronic Cigarettes were introduced in the early 2000’s to serve this purpose. The e-cigarette works by heating a coil that vaporizes a vegetable glycerin and propylene glycol based liquid, which can contain nicotine or flavor additives. The vapor is then released through a mouthpiece to be inhaled by the user. Many e-cigarette companies claim that the use of e-cigarettes is completely harmless because of combustion of the organic liquids would cause the inhalation of only water vapor and carbon dioxide along with the flavors and nicotine. Companies also advertise their products to help smokers quit smoking. Recently, “vaping” has grown increasingly popular especially with minors since several states still allow the sale of e-cigarettes to minors. Studies have shown that more teenagers are vaping, and that it may lead to the use of real cigarettes. A Simultaneous Thermal Analyzer is used to simulate the reaction that occurs inside the e-cigarette. The resultant vapors are transferred to an infrared spectrometer for analysis. Early results indicate that the vapors released are not simply carbon dioxide and water, so the liquids do not undergo combustion as claimed. Further analysis must be done in order to determine exactly what is being released by these e-cigarettes, and their potentially harmful effects on the human body.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1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2368058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flathead catfish for mercury content in Lake Columbia, AR.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Brishna Hedstrom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BKHedstrom1808@muleriders.saumag.edu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Brishna K. Hedstrom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Gija Geme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Southern Arkansas University, Magnolia,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consumption of fish is recommended because it is a good source of omega-3 fatty acids, which have been associated with health benefits due to its cardio-protective effects. All fish contain traces of mercury. However, some fish contain higher levels of mercury that may harm an unborn baby or young child's developing nervous system.</w:t>
                  </w:r>
                  <w:r w:rsidRPr="001F5B5C">
                    <w:rPr>
                      <w:rFonts w:ascii="Times New Roman" w:eastAsia="Times New Roman" w:hAnsi="Times New Roman"/>
                      <w:sz w:val="20"/>
                      <w:szCs w:val="20"/>
                    </w:rPr>
                    <w:br/>
                    <w:t>Mercury occurs naturally in the environment and can also be released into the air through industrial pollution. Mercury falls from the air and can accumulate in streams and is turned into methylmercury in the water. Methylmercury can be harmful to an unborn child and young children. Fish absorb methylmercury as they feed and accumulate it in their bodies.</w:t>
                  </w:r>
                  <w:r w:rsidRPr="001F5B5C">
                    <w:rPr>
                      <w:rFonts w:ascii="Times New Roman" w:eastAsia="Times New Roman" w:hAnsi="Times New Roman"/>
                      <w:sz w:val="20"/>
                      <w:szCs w:val="20"/>
                    </w:rPr>
                    <w:br/>
                    <w:t>Lake Columbia is a 3,000-acre impoundment stretching for six miles along Beech Creek about six miles northwest of Magnolia in south central Arkansas. It was constructed in 1986 by the Arkansas Game and Fish Commission, and is an excellent fishing spot for the locals. Currently Lake Columbia is placed under fish consumption notice issued by Arkansas Game and Fish Commission and Arkansas Department of Environmental Quality, which was established in early nineties.</w:t>
                  </w:r>
                  <w:r w:rsidRPr="001F5B5C">
                    <w:rPr>
                      <w:rFonts w:ascii="Times New Roman" w:eastAsia="Times New Roman" w:hAnsi="Times New Roman"/>
                      <w:sz w:val="20"/>
                      <w:szCs w:val="20"/>
                    </w:rPr>
                    <w:br/>
                    <w:t>Nine flathead catfish were collected from Lake Columbia, AR. The fish were digested and analyzed for mercury using Buck Scientific mercury analyzer.</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2368181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br/>
                    <w:t>Carbon 13NMR</w:t>
                  </w:r>
                  <w:r w:rsidRPr="001F5B5C">
                    <w:rPr>
                      <w:rFonts w:ascii="Times New Roman" w:eastAsia="Times New Roman" w:hAnsi="Times New Roman"/>
                      <w:b/>
                      <w:bCs/>
                      <w:sz w:val="20"/>
                      <w:szCs w:val="20"/>
                    </w:rPr>
                    <w:t xml:space="preserve"> </w:t>
                  </w:r>
                  <w:r w:rsidRPr="001F5B5C">
                    <w:rPr>
                      <w:rFonts w:ascii="Times New Roman" w:eastAsia="Times New Roman" w:hAnsi="Times New Roman"/>
                      <w:sz w:val="20"/>
                      <w:szCs w:val="20"/>
                    </w:rPr>
                    <w:t>Studies of Saturated FattyAcids Bound to Bovine Serum Albumin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Robbie Montgomery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rmont3@hotmail.com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Robbie Montgomery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Heath McAlexander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Martin, Martin,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research investigates the effect of varying the length of fatty acids bound to Bovine Serum Albumin (BSA) in relation to binding sites. The binding properties of BSA have been well studied but further investigation and information can be gained by understanding the binding sites involved between varying fatty acids and BSA. Currently, octanoic and palmitic acid have been analyzed using carbon 13NMR to determine and understand BSA binding sites. Eventually, this research seeks to investigate the realtionship between fatty acids and different breeds of cattle.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2368183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Determination of Effect of Chewing Rate on Releasing Xylitol From Gum Sticks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Griffin St Louis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gss75@msstate.edu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Suranga M. Rajapaksha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Griffin St Louis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Todd Mlnsa</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Mississippi State University, Starkville, MS, United States. </w:t>
                  </w:r>
                  <w:r w:rsidRPr="001F5B5C">
                    <w:rPr>
                      <w:rFonts w:ascii="Times New Roman" w:eastAsia="Times New Roman" w:hAnsi="Times New Roman"/>
                      <w:sz w:val="20"/>
                      <w:szCs w:val="20"/>
                    </w:rPr>
                    <w:br/>
                    <w:t xml:space="preserve">2. Chemistry, Mississippi State University, Starkville,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Xylitol is a naturally occurring sweetener that is often used as a substitute to glucose in sugar-free gum. In humans, xylitol consumption has beneficial properties such as fighting certain harmful bacteria in the body and boosting salvia production in order to fight plaque build-up. However, xylitol is dangerous to dogs because it causes them to exhibit gastrointestinal problems and acute liver failure. Sugar free gum samples containing xylitol were chewed at rates of 60 times per minute, 30 times per minute, and 120 times per minute for a certain period of time. A novel xylitol extraction method was used to collect remaining amount of xylitol in chewed gum samples and it was analyzed by GC/MS with direct aqueous injection.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Purification and Clean-Up of Glycans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Rachel Wolters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racwolt@ut.utm.edu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Robbie Montgomery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Katherine Stumpo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Rachel Wolters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Scranton, Scranton, PA,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According to the American Academy of Allergy, Asthma, and Immunology, millions of people in the U.S. are affected with seasonal allergies, with grass pollens contributing the most. Glycoproteins, or proteins with attached carbohydrates, are thought to play an important role in the immunogenic response. There are currently 13 groups of grass allergens, and groups 1</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 and 11 have been found to contain N-linked glycans. Since plant N-glycans are somewhat conserved between species, precise characterization of proteins/glycans is needed in order to better understand the immunogenic response. Characterizing the pollen proteins and glycans could result in more precise therapeutics for seasonal allergies.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Stability-indicating UPLC-MS/MS assay for 1960’s Eli Lilly and Company pharmaceuticals in dosage forms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Caitlin Quinn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myh692@mocs.utc.edu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Caitlin Quinn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Thomas R. Rybolt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Steven Symes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 2252, University of Tennessee-Chattanooga,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Four 1960’s pharmaceuticals, each approximately 50 years old, were analyzed in dosage form via ultra performance liquid chromatography-tandem mass spectrometry (UPLC-MS/MS) in order to assess the respective stability of each pharmaceutical sample. More specifically, the active ingredients of each pharmaceutical sample were quantified and compared to the expected mass of active ingredient reported; this allowed for an assessment of drug expiration and lifetime. Expiration date validation was assessed in relation to the definition of expiration date, noting that valid pharmaceuticals must have &gt;90% of the active ingredient remaining. The pharmaceuticals analyzed (along with the respective active ingredients) are as follows: Ilosone (erythromycin), Darvon (propoxyphene), Darvon-65 (propoxyphene, aspirin, caffeine, phenacetin), and V-Cillin K (penicillin-V). Individual dosage forms of each pharmaceutical were massed, transferred to designated volumetric glassware, and dissolved; upon complete dissolution of the dosage form, the solution was then 0.2μm filtered, diluted gravimetrically, and analyzed using the developed UPLC-MS/MS assay. In some cases, it appears that significant percentages of an original drug dose can persist in stoppered vials in a dark environment for up to a 50 year time period.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2368513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urine organic acids via GC/MS-based metabolomics to determine the effect of diet on urine composition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Jessica Minnick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jessica.minnick@bobcats.gcsu.edu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Jessica L. Minnick</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Catrena H. Lisse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 Physics Astronomy, Georgia College State University, Milledgeville, GA, United States. </w:t>
                  </w:r>
                  <w:r w:rsidRPr="001F5B5C">
                    <w:rPr>
                      <w:rFonts w:ascii="Times New Roman" w:eastAsia="Times New Roman" w:hAnsi="Times New Roman"/>
                      <w:sz w:val="20"/>
                      <w:szCs w:val="20"/>
                    </w:rPr>
                    <w:br/>
                    <w:t xml:space="preserve">2. Chemistry, Georgia College and State University, Milledgeville,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How does diet influence our health? As it is well-known, a college student’s diet is notorious for being unbalanced. Researchers are contemplating the relationship of diet and health through the use of GC/MS-based metabolomics which is commonly used to diagnose metabolic disorders. Gas chromatography/mass spectrometry (GC/MS) is utilized to study the composition of urine due to its high sensitivity towards multiple factors that affect the urine’s composition- i.e. diet, age and gender.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br/>
                    <w:t>The multi-step undergraduate research project (1) focuses on how the organic acid profile of urine changes based on diet via the use of GC/MS coupled with a purge-n-trap autosampler, (2) determines the significance of the suspected alterations, and (3) correlates findings with the diagnosis of common metabolic disorders. This presentation summarizes the method development and preliminary results.</w:t>
                  </w:r>
                  <w:r w:rsidRPr="001F5B5C">
                    <w:rPr>
                      <w:rFonts w:ascii="Times New Roman" w:eastAsia="Times New Roman" w:hAnsi="Times New Roman"/>
                      <w:sz w:val="20"/>
                      <w:szCs w:val="20"/>
                    </w:rPr>
                    <w:br/>
                  </w:r>
                  <w:r w:rsidRPr="001F5B5C">
                    <w:rPr>
                      <w:rFonts w:ascii="Times New Roman" w:eastAsia="Times New Roman" w:hAnsi="Times New Roman"/>
                      <w:sz w:val="20"/>
                      <w:szCs w:val="20"/>
                      <w:vertAlign w:val="superscript"/>
                    </w:rPr>
                    <w:t xml:space="preserve">1 </w:t>
                  </w:r>
                  <w:r w:rsidRPr="001F5B5C">
                    <w:rPr>
                      <w:rFonts w:ascii="Times New Roman" w:eastAsia="Times New Roman" w:hAnsi="Times New Roman"/>
                      <w:sz w:val="20"/>
                      <w:szCs w:val="20"/>
                    </w:rPr>
                    <w:t>Poole, C. Gas Chromatography, 1st ed.; Elsevier: Waltham, MA, 2012; p. 83-101.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2368515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Discrimination of Carbohydrate Isomers as Transition Metal Adducts Using Ion Mobility Spectrometry and Tandem Mass Spectrometry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Lauren Petrosh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petrolm0@sewanee.edu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Lauren Petrosh</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Yuting Huang</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Eric D. Dodds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Sewanee: The University of the South, Sewanee, TN, United States. </w:t>
                  </w:r>
                  <w:r w:rsidRPr="001F5B5C">
                    <w:rPr>
                      <w:rFonts w:ascii="Times New Roman" w:eastAsia="Times New Roman" w:hAnsi="Times New Roman"/>
                      <w:sz w:val="20"/>
                      <w:szCs w:val="20"/>
                    </w:rPr>
                    <w:br/>
                    <w:t xml:space="preserve">2. Chemistry Department, University of Nebraska, Lincoln, NE,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Carbohydrates are responsible for many functions in living organisms, including their purpose as an energy source, influence of protein structure and stability, as well as a factor in metabolism and cell signaling. In order to comprehend the functionality of carbohydrates, oligosaccharide structures must be fully deduced. Mass spectrometry (MS) has been applied to the study of carbohydrates for many years. However, the complete characterization of these molecules is complicated by the presence of varying isomers. Unlike traditional methods, such as nuclear magnetic resonance spectroscopy, high performance liquid chromatography, and capillary electrophoresis, MS separations require much less time and sample. Here, we explore the effects of five Period 4 transition metal ions (Fe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Co</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Ni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Cu</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and Zn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and their corresponding electron transfer (ET) products (Fe</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Co</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Ni</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Cu</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and Zn</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as charge carriers for carbohydrate isomer discrimination by ion mobility spectrometry (IMS) and tandem mass spectrometry (MS/MS). These metals were chosen because they have been found to display interesting fragmentation patterns. Four pentasaccharide isomers (lacto-N-fucopentaose I, lacto-N-fucopentaose II, lacto-N-fucopentaose III, and lacto-N-fucopentaose V) were studied that have proven difficult to distinguish by both IMS and MS/MS. In total, 40 carbohydrate/metal adduct species were obtained. Experiments were performed using a quadrupole time-of-flight hybrid mass spectrometer (Q-TOF-MS) coupled with a traveling wave ion mobility spectrometer and equipped to carry out gas-phase ion-ion ET reactions.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2368521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Electrolyte Changes in Athletes using ICP</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Casey O'Hara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CCOHara7035@muleriders.saumag.edu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Casey C. O'Hara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Gija Geme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George White</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Southern Arkansas University, Magnolia, AR, United States. </w:t>
                  </w:r>
                  <w:r w:rsidRPr="001F5B5C">
                    <w:rPr>
                      <w:rFonts w:ascii="Times New Roman" w:eastAsia="Times New Roman" w:hAnsi="Times New Roman"/>
                      <w:sz w:val="20"/>
                      <w:szCs w:val="20"/>
                    </w:rPr>
                    <w:br/>
                    <w:t xml:space="preserve">2. Health, Kinesiology, &amp; Recreation, Southern Arkansas, Magnolia,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Electrolytes are charged minerals in the body that maintain blood chemistry, hydration, blood acidity, and aid in muscle action. They aid in hydration and prevent muscle cramping, especially in athletes. Common electrolytes are calcium, chloride, magnesium, phosphorus, potassium, and sodium. In this study calcium, potassium, and sodium were the target electrolytes studied. The objective of this experiment was to determine electrolyte changes in elite Division II football athletes during regular preseason practices. Sweat samples were collected from athletes during warm-ups, at the mid-point of practice, and at the conclusion of practice at each regular preseason practice over the course of fourteen practices. The samples were analyzed using the Inductively Coupled Plasma (ICP) Optical Emission Spectrometer utilizing the </w:t>
                  </w:r>
                  <w:r w:rsidRPr="001F5B5C">
                    <w:rPr>
                      <w:rFonts w:ascii="Times New Roman" w:eastAsia="Times New Roman" w:hAnsi="Times New Roman"/>
                      <w:i/>
                      <w:iCs/>
                      <w:sz w:val="20"/>
                      <w:szCs w:val="20"/>
                    </w:rPr>
                    <w:t>Standard Methods for the Examination of Water and Wastewater 22</w:t>
                  </w:r>
                  <w:r w:rsidRPr="001F5B5C">
                    <w:rPr>
                      <w:rFonts w:ascii="Times New Roman" w:eastAsia="Times New Roman" w:hAnsi="Times New Roman"/>
                      <w:i/>
                      <w:iCs/>
                      <w:sz w:val="20"/>
                      <w:szCs w:val="20"/>
                      <w:vertAlign w:val="superscript"/>
                    </w:rPr>
                    <w:t>nd</w:t>
                  </w:r>
                  <w:r w:rsidRPr="001F5B5C">
                    <w:rPr>
                      <w:rFonts w:ascii="Times New Roman" w:eastAsia="Times New Roman" w:hAnsi="Times New Roman"/>
                      <w:i/>
                      <w:iCs/>
                      <w:sz w:val="20"/>
                      <w:szCs w:val="20"/>
                    </w:rPr>
                    <w:t xml:space="preserve"> Edition’s</w:t>
                  </w:r>
                  <w:r w:rsidRPr="001F5B5C">
                    <w:rPr>
                      <w:rFonts w:ascii="Times New Roman" w:eastAsia="Times New Roman" w:hAnsi="Times New Roman"/>
                      <w:sz w:val="20"/>
                      <w:szCs w:val="20"/>
                    </w:rPr>
                    <w:t xml:space="preserve"> 3120 B. Inductively Coupled Plasma (ICP) Method.</w:t>
                  </w:r>
                  <w:r w:rsidRPr="001F5B5C">
                    <w:rPr>
                      <w:rFonts w:ascii="Times New Roman" w:eastAsia="Times New Roman" w:hAnsi="Times New Roman"/>
                      <w:sz w:val="20"/>
                      <w:szCs w:val="20"/>
                    </w:rPr>
                    <w:br/>
                    <w:t>During warm-ups, calcium ranged from 0.000179mg–0.0532mg, potassium from 0.00101mg-0.0677mg, and sodium from 0.00137mg-0.205mg. At the mid-point of practice calcium ranged from 0.00126mg-0.111mg, potassium from 0.00106-0.0901mg, and 0.0107mg-0.314mg. At the conclusion of practice calcium ranged from 0.00135mg-0.0697mg, potassium from 0.00167mg-0.103mg, and sodium from 0.0104mg-0.332mg. These data will be used to create electrolyte replacement strategies for athletes. Further studies include expanding sample size, looking at different sports, determining the impact of time on electrolyte loss, and comparing electrolyte loss in male and female athletes.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2368524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Analysis of Pen Inks using a Portable Raman Spectrometer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Kadejah Johnson | Christopher Hudson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kadjohnson@claflin.edu | chhudson@claflin.edu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Alice Boone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Kadejah Johnson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Christopher Hudson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Uruthira P. Kalapathy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Claflin University, Orangeburg, SC, United States. </w:t>
                  </w:r>
                  <w:r w:rsidRPr="001F5B5C">
                    <w:rPr>
                      <w:rFonts w:ascii="Times New Roman" w:eastAsia="Times New Roman" w:hAnsi="Times New Roman"/>
                      <w:sz w:val="20"/>
                      <w:szCs w:val="20"/>
                    </w:rPr>
                    <w:br/>
                    <w:t xml:space="preserve">2. Florida International University, Miami,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Forensic examinations of questioned documents often involve chemical and physical analysis of pen inks. Raman Spectroscopy has been often used for ink analysis because of the rapid results given with no destruction of the evidence. The objective of this work is to assess whether Raman Spectroscopy is appropriate to differentiate different types of commercial ballpoint blue pens. Because inks are complex mixtures consists of unknown components, identifying specific ink components using Raman Spectroscopy can be a difficult task. Instead, spectral fingerprinting comparison is preferably used to differentiate ink in forensic contexts. This involves examining the overall pattern of the spectra, band intensities, and differences in the position of the band. Raman spectra using 785 nm laser wavelength showed the differences in the vibrational frequencies of each blue pen. The shapes of the spectrums varied, as did the number of peaks. At the 785 nm wavelength, the blue pen inks absorbed at about 1,000 cm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Although the 532 nm laser gave individual bond vibrations, differences in the pen inks were poorly distinguished. Laser wavelengths of 785 and 532 nm are compared in terms of the effect of paper and the laser power on the band shape and spectral intensity.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2368525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Plant uptake of commonly prescribed pharmaceuticals and Splenda© in reclaimed water by Water Lettuce (</w:t>
                  </w:r>
                  <w:r w:rsidRPr="001F5B5C">
                    <w:rPr>
                      <w:rFonts w:ascii="Times New Roman" w:eastAsia="Times New Roman" w:hAnsi="Times New Roman"/>
                      <w:b/>
                      <w:bCs/>
                      <w:i/>
                      <w:iCs/>
                      <w:sz w:val="20"/>
                      <w:szCs w:val="20"/>
                    </w:rPr>
                    <w:t>Pistia stratiotes</w:t>
                  </w:r>
                  <w:r w:rsidRPr="001F5B5C">
                    <w:rPr>
                      <w:rFonts w:ascii="Times New Roman" w:eastAsia="Times New Roman" w:hAnsi="Times New Roman"/>
                      <w:b/>
                      <w:bCs/>
                      <w:sz w:val="20"/>
                      <w:szCs w:val="20"/>
                    </w:rPr>
                    <w:t>)</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Tia Strickland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strictd0@sewanee.edu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Tia D. Strickland</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Marley R. Pruyn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Piero R. Gardinali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Biochemistry, Florida International University, North Miami, FL, United States. </w:t>
                  </w:r>
                  <w:r w:rsidRPr="001F5B5C">
                    <w:rPr>
                      <w:rFonts w:ascii="Times New Roman" w:eastAsia="Times New Roman" w:hAnsi="Times New Roman"/>
                      <w:sz w:val="20"/>
                      <w:szCs w:val="20"/>
                    </w:rPr>
                    <w:br/>
                    <w:t xml:space="preserve">2. Department of Chemistry and Biochemistry, Florida International University, Miami, FL, United States. </w:t>
                  </w:r>
                  <w:r w:rsidRPr="001F5B5C">
                    <w:rPr>
                      <w:rFonts w:ascii="Times New Roman" w:eastAsia="Times New Roman" w:hAnsi="Times New Roman"/>
                      <w:sz w:val="20"/>
                      <w:szCs w:val="20"/>
                    </w:rPr>
                    <w:br/>
                    <w:t xml:space="preserve">3. Chemistry, Sewanee: The University of the South, Harrison,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Pharmaceuticals, personal care products, and artificial sweeteners have become prevalent in wastewater systems because of the high consumption rates of the population and the limitations of traditional water treatment. The persistence of these organic contaminants through the wastewater treatment system has been a continuous area of research, including how to modify the treatment process to effectively remove emergent contaminants. Constructed wetlands are a secondary or tertiary treatment option that uses the biological degradation process of plants, sunlight, and other veritable substrates as the treatment process. Using Water Lettuce (Pistia stratiotes) as a single variable, plants were exposed to reclaimed water under monitored conditions to test the capability of a plants uptake of a list of target compounds, including commonly prescribed drugs and Splenda. A SPE-HPLC-MS with a HESI-II ionization source was used to analyze both water samples and plant extracts after three weeks of continued exposure in the test habitats. The resulting plant extractions exposed to the reclaimed water showed detectable amounts for five of the six target compounds.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2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2368530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Spectrophotometric determination of concentration of phosphates and Nitration in vegetables, soils, fertilizer, and water samples by molybdenum blue method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stephanie wilson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srwilson@vuu.edu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stephanie wilson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Virginia Union University, Waverly,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simple and sensitive spectrophotometric method has been developed for the determination of concentration of phosphates and nitrates in various vegetables, soils, water, and fertilizers. The results will be compared to determine whether a higher soil or fertilizer content results in higher phosphate or nitrate content in the plant and to see how they correlate. The increased concentration of phosphate is the key factor for richness of nutrients in a lake or other body of water which causes an abundant growth of plant life and death of animal life from lack of oxygen. Thus the importance of determination in water in this experiment. Nitrate serves as an essential plant nutrient helping with tissue development and building immune systems, and seed production. The amount of phosphates and nitrate is determined by molybdenum blue phosphorous method and UV- visible spectrophotometer. This method is based on the formation of phosphomolybdate complex added with the added molybdate followed by the reduction of the complex with hydrazine sulfate in aqueous sulfuric acid medium. This method was observed at 800-900 nm in the concentration range 0.1- 11 ppm. The effect of time on the formation of phosphomolybenum blue complex and addition of the order of the reagents was also studied. detrmin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2368560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Monitoring click reactions on titanium dioxide using ATR infrared spectroscopy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Karla McCain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kmccain@austincollege.edu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Daniel Medford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Steven D. Prinslow</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Karla S. McCain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Austin College, Sherman,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Because many of the resources used to currently meet our energy needs cause climate change, it is important to increase the efficiency of cleaner, renewable energy sources such as dye-sensitized solar cells. The goal of this project is to increase the efficiency of this conversion process by controlling the orientation and surface concentration of the dye molecules on the surface of the titanium dioxide to favor electron injection to the conducting band of the titanium dioxide. Dye molecules are covalently bound to the surface of the titanium dioxide by a click reaction between a surface-bound azide and </w:t>
                  </w:r>
                  <w:proofErr w:type="gramStart"/>
                  <w:r w:rsidRPr="001F5B5C">
                    <w:rPr>
                      <w:rFonts w:ascii="Times New Roman" w:eastAsia="Times New Roman" w:hAnsi="Times New Roman"/>
                      <w:sz w:val="20"/>
                      <w:szCs w:val="20"/>
                    </w:rPr>
                    <w:t>a</w:t>
                  </w:r>
                  <w:proofErr w:type="gramEnd"/>
                  <w:r w:rsidRPr="001F5B5C">
                    <w:rPr>
                      <w:rFonts w:ascii="Times New Roman" w:eastAsia="Times New Roman" w:hAnsi="Times New Roman"/>
                      <w:sz w:val="20"/>
                      <w:szCs w:val="20"/>
                    </w:rPr>
                    <w:t xml:space="preserve"> alkyne tagged dye complex. Silane chemistry is used to prepare an azide terminated monolayer, followed by derivatization by the click reaction. These reactions are monitored </w:t>
                  </w:r>
                  <w:r w:rsidRPr="001F5B5C">
                    <w:rPr>
                      <w:rFonts w:ascii="Times New Roman" w:eastAsia="Times New Roman" w:hAnsi="Times New Roman"/>
                      <w:i/>
                      <w:iCs/>
                      <w:sz w:val="20"/>
                      <w:szCs w:val="20"/>
                    </w:rPr>
                    <w:t>in situ</w:t>
                  </w:r>
                  <w:r w:rsidRPr="001F5B5C">
                    <w:rPr>
                      <w:rFonts w:ascii="Times New Roman" w:eastAsia="Times New Roman" w:hAnsi="Times New Roman"/>
                      <w:sz w:val="20"/>
                      <w:szCs w:val="20"/>
                    </w:rPr>
                    <w:t xml:space="preserve"> by preparing a film of titanium dioxide particles on a zinc selenide internal reflection element contained in a flow cell and acquiring attenuated total reflectance infrared spectra as a function of time. The presence of the monolayer is detected by the azide stretch at 2100 cm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A solution of the target alkyne and a </w:t>
                  </w:r>
                  <w:proofErr w:type="gramStart"/>
                  <w:r w:rsidRPr="001F5B5C">
                    <w:rPr>
                      <w:rFonts w:ascii="Times New Roman" w:eastAsia="Times New Roman" w:hAnsi="Times New Roman"/>
                      <w:sz w:val="20"/>
                      <w:szCs w:val="20"/>
                    </w:rPr>
                    <w:t>copper(</w:t>
                  </w:r>
                  <w:proofErr w:type="gramEnd"/>
                  <w:r w:rsidRPr="001F5B5C">
                    <w:rPr>
                      <w:rFonts w:ascii="Times New Roman" w:eastAsia="Times New Roman" w:hAnsi="Times New Roman"/>
                      <w:sz w:val="20"/>
                      <w:szCs w:val="20"/>
                    </w:rPr>
                    <w:t>I) catalyst are allowed to stir at room temperate for 16 hours and then is introduced through the flow cell to react the alkyne tagged target to the surface-bound azide. Upon reaction, a decrease in azide stretch is observed as the reaction proceeds. These reactions both proceed by first order kinetics than can be measured by integrating the area under the azide stretch. Several factors have been investigated to help increase the reproducibility of the click reaction.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2368567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Mineralized springs of Lampasas, Texas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Megan Jenkins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meganjenkins@forestresources.com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Megan Jenkins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Alyx Frantzen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Chemistry/Biochemistry, Stephen F. Austin State University, Nacogdoches,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Nine springs in and around Lampasas, Texas </w:t>
                  </w:r>
                  <w:proofErr w:type="gramStart"/>
                  <w:r w:rsidRPr="001F5B5C">
                    <w:rPr>
                      <w:rFonts w:ascii="Times New Roman" w:eastAsia="Times New Roman" w:hAnsi="Times New Roman"/>
                      <w:sz w:val="20"/>
                      <w:szCs w:val="20"/>
                    </w:rPr>
                    <w:t>were</w:t>
                  </w:r>
                  <w:proofErr w:type="gramEnd"/>
                  <w:r w:rsidRPr="001F5B5C">
                    <w:rPr>
                      <w:rFonts w:ascii="Times New Roman" w:eastAsia="Times New Roman" w:hAnsi="Times New Roman"/>
                      <w:sz w:val="20"/>
                      <w:szCs w:val="20"/>
                    </w:rPr>
                    <w:t xml:space="preserve"> sampled over the course of a year and profiles of each spring were constructed. When in proximity to the springs, a strong smell of ‘rotten egg’ is evident and permeates the area. As the springs are generally located in karst environments, the source of the smell is puzzling. Based on the geology of the area, there </w:t>
                  </w:r>
                  <w:proofErr w:type="gramStart"/>
                  <w:r w:rsidRPr="001F5B5C">
                    <w:rPr>
                      <w:rFonts w:ascii="Times New Roman" w:eastAsia="Times New Roman" w:hAnsi="Times New Roman"/>
                      <w:sz w:val="20"/>
                      <w:szCs w:val="20"/>
                    </w:rPr>
                    <w:t>are</w:t>
                  </w:r>
                  <w:proofErr w:type="gramEnd"/>
                  <w:r w:rsidRPr="001F5B5C">
                    <w:rPr>
                      <w:rFonts w:ascii="Times New Roman" w:eastAsia="Times New Roman" w:hAnsi="Times New Roman"/>
                      <w:sz w:val="20"/>
                      <w:szCs w:val="20"/>
                    </w:rPr>
                    <w:t xml:space="preserve"> no sulfur bearing minerals, indicating the origins of the waters is far removed from Lampasas. Specifically, the waters were analyzed for iron, lead, zinc and copper using Inductively Coupled Plasma-Mass Spectrometry to aid in the determination of the origin of the sulfur. Additional analyses done include; pH, sulfate, carbonate, and hardness. The complete characterization of these springs will assist in the delineation of the source of mineralization in the area and help in the determination of what controls the distribution of the highly mineralized ground water occurrences versus normal karst springs.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2368604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Detection of Microbial Volatile Organic Compounds from </w:t>
                  </w:r>
                  <w:r w:rsidRPr="001F5B5C">
                    <w:rPr>
                      <w:rFonts w:ascii="Times New Roman" w:eastAsia="Times New Roman" w:hAnsi="Times New Roman"/>
                      <w:i/>
                      <w:iCs/>
                      <w:sz w:val="20"/>
                      <w:szCs w:val="20"/>
                    </w:rPr>
                    <w:t>Cryphonectria parasitica</w:t>
                  </w:r>
                  <w:r w:rsidRPr="001F5B5C">
                    <w:rPr>
                      <w:rFonts w:ascii="Times New Roman" w:eastAsia="Times New Roman" w:hAnsi="Times New Roman"/>
                      <w:sz w:val="20"/>
                      <w:szCs w:val="20"/>
                    </w:rPr>
                    <w:t xml:space="preserve"> species by Gas Chromatography-Mass Spectrometry and Pattern Recognition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Matthew Mlsna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mem1005@msstate.edu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Matthew Mlsna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Jinyan She</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Mary King</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Mississippi State University, Starkville, MS, United States. </w:t>
                  </w:r>
                  <w:r w:rsidRPr="001F5B5C">
                    <w:rPr>
                      <w:rFonts w:ascii="Times New Roman" w:eastAsia="Times New Roman" w:hAnsi="Times New Roman"/>
                      <w:sz w:val="20"/>
                      <w:szCs w:val="20"/>
                    </w:rPr>
                    <w:br/>
                    <w:t xml:space="preserve">2. Chemistry, Mississippi State University, Starkville,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Microbial volatile organic compounds (MVOCs) are either intermediate or end products of organism metabolic pathways, and have been involved in different biological processes such as serve as biomarkers of a disease. Recently, MVOCs produced by virulent and hypo-virulent </w:t>
                  </w:r>
                  <w:r w:rsidRPr="001F5B5C">
                    <w:rPr>
                      <w:rFonts w:ascii="Times New Roman" w:eastAsia="Times New Roman" w:hAnsi="Times New Roman"/>
                      <w:i/>
                      <w:iCs/>
                      <w:sz w:val="20"/>
                      <w:szCs w:val="20"/>
                    </w:rPr>
                    <w:t xml:space="preserve">C. parasitica </w:t>
                  </w:r>
                  <w:r w:rsidRPr="001F5B5C">
                    <w:rPr>
                      <w:rFonts w:ascii="Times New Roman" w:eastAsia="Times New Roman" w:hAnsi="Times New Roman"/>
                      <w:sz w:val="20"/>
                      <w:szCs w:val="20"/>
                    </w:rPr>
                    <w:t>isolates have been studied by Headspace Solid Phase Microextraction (HS-SPME) with an 85 µm Carboxen/Polydimethylsiloxane (CAR/PDMS) fiber coupled with Gas Chromatography-Mass Spectrometry (GC-MS). Herein, we report further studies on facts that can alter the MVOCs profile such as temperature and growth media. Moreover, the MVOCs profiles associated with fungi life circle were also detected. And finally, data pattern recognition was achieved by chemometrics.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2368769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The Relation of Synthesis Time and Calcination Temperature to Resultant Size of TiO</w:t>
                  </w:r>
                  <w:r w:rsidRPr="001F5B5C">
                    <w:rPr>
                      <w:rFonts w:ascii="Times New Roman" w:eastAsia="Times New Roman" w:hAnsi="Times New Roman"/>
                      <w:b/>
                      <w:bCs/>
                      <w:sz w:val="20"/>
                      <w:szCs w:val="20"/>
                      <w:vertAlign w:val="subscript"/>
                    </w:rPr>
                    <w:t>2</w:t>
                  </w:r>
                  <w:r w:rsidRPr="001F5B5C">
                    <w:rPr>
                      <w:rFonts w:ascii="Times New Roman" w:eastAsia="Times New Roman" w:hAnsi="Times New Roman"/>
                      <w:b/>
                      <w:bCs/>
                      <w:sz w:val="20"/>
                      <w:szCs w:val="20"/>
                    </w:rPr>
                    <w:t xml:space="preserve"> Nanoparticles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Christopher Roberts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crobert2@unca.edu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Christopher Roberts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Oksana Love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UNC Asheville, Asheville,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With the increased presence of organic contaminants in drinking water, it has become increasingly necessary to find affordable and viable alternatives for water purification applications. Nanoparticles (NPs) with their size and resultant large surface area offer new pathways to achieve successful filtration. Titanium oxide (TiO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as a widely available, non-toxic material, is optimal for use as a filtration medium. In this study, TiO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NPs were prepared by sol-gel method. Synthesis time and calcination temperatures were varied, and change in size of NPs was analyzed by X-Ray Diffraction Spectroscopy. The direct relationship between calcination temperature and particles size was observed: low calcination temperatures lead to presence of smaller NPs, while higher temperatures produced larger NPs.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2368837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Improving NOE Methods in Obtaining Inter-Proton Distances for 3-methylpiperidine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Nkiruka Oragwam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nickyoragwam@live.com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Nkiruka Oragwam</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Craig Butts</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Jessica Bame</w:t>
                  </w:r>
                  <w:r w:rsidRPr="001F5B5C">
                    <w:rPr>
                      <w:rFonts w:ascii="Times New Roman" w:eastAsia="Times New Roman" w:hAnsi="Times New Roman"/>
                      <w:sz w:val="20"/>
                      <w:szCs w:val="20"/>
                      <w:vertAlign w:val="superscript"/>
                    </w:rPr>
                    <w:t>5</w:t>
                  </w:r>
                  <w:r w:rsidRPr="001F5B5C">
                    <w:rPr>
                      <w:rFonts w:ascii="Times New Roman" w:eastAsia="Times New Roman" w:hAnsi="Times New Roman"/>
                      <w:sz w:val="20"/>
                      <w:szCs w:val="20"/>
                    </w:rPr>
                    <w:t>, Claire Dickson</w:t>
                  </w:r>
                  <w:r w:rsidRPr="001F5B5C">
                    <w:rPr>
                      <w:rFonts w:ascii="Times New Roman" w:eastAsia="Times New Roman" w:hAnsi="Times New Roman"/>
                      <w:sz w:val="20"/>
                      <w:szCs w:val="20"/>
                      <w:vertAlign w:val="superscript"/>
                    </w:rPr>
                    <w:t>6</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Anne G. Glenn</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CSU Bakersfield, Bakersfield, CA, United States. </w:t>
                  </w:r>
                  <w:r w:rsidRPr="001F5B5C">
                    <w:rPr>
                      <w:rFonts w:ascii="Times New Roman" w:eastAsia="Times New Roman" w:hAnsi="Times New Roman"/>
                      <w:sz w:val="20"/>
                      <w:szCs w:val="20"/>
                    </w:rPr>
                    <w:br/>
                    <w:t xml:space="preserve">2. Univ of North Carolina, Greensboro, NC, United States. </w:t>
                  </w:r>
                  <w:r w:rsidRPr="001F5B5C">
                    <w:rPr>
                      <w:rFonts w:ascii="Times New Roman" w:eastAsia="Times New Roman" w:hAnsi="Times New Roman"/>
                      <w:sz w:val="20"/>
                      <w:szCs w:val="20"/>
                    </w:rPr>
                    <w:br/>
                    <w:t xml:space="preserve">3. Guilford Colg, Greensboro, NC, United States. </w:t>
                  </w:r>
                  <w:r w:rsidRPr="001F5B5C">
                    <w:rPr>
                      <w:rFonts w:ascii="Times New Roman" w:eastAsia="Times New Roman" w:hAnsi="Times New Roman"/>
                      <w:sz w:val="20"/>
                      <w:szCs w:val="20"/>
                    </w:rPr>
                    <w:br/>
                    <w:t xml:space="preserve">4. University of Bristol, Bristol, United Kingdom. </w:t>
                  </w:r>
                  <w:r w:rsidRPr="001F5B5C">
                    <w:rPr>
                      <w:rFonts w:ascii="Times New Roman" w:eastAsia="Times New Roman" w:hAnsi="Times New Roman"/>
                      <w:sz w:val="20"/>
                      <w:szCs w:val="20"/>
                    </w:rPr>
                    <w:br/>
                    <w:t xml:space="preserve">5. University of Bristol, Bristol, United Kingdom. </w:t>
                  </w:r>
                  <w:r w:rsidRPr="001F5B5C">
                    <w:rPr>
                      <w:rFonts w:ascii="Times New Roman" w:eastAsia="Times New Roman" w:hAnsi="Times New Roman"/>
                      <w:sz w:val="20"/>
                      <w:szCs w:val="20"/>
                    </w:rPr>
                    <w:br/>
                    <w:t xml:space="preserve">6. University of Bristol, Bristol, United Kingdom.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NOE (the Nuclear Overhauser Effect) is a method that determines inter-proton distances by utilizing the magnetic effects of two proton nuclei. While current methods of converting PANIC intensities on a Noesy spectra to distances works well for rigid molecules, small molecules (such as 3-methylpiperidine) end up producing large errors. This is due to low intensities and anti-phasing peaks on the spectra as a result of the molecule tumbling too fast in solution. We describe our attempts at improving these and minimizing percentage errors by using temperature and viscosity manipulation of the solvent containing 3-methylpiperidine.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Analytical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2368929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Effects of Vegetated Mats on Nutrient Levels of Storm Water Retention Ponds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Joanna Clark | Hali Goad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jmclark1@vwc.edu | hlgoad@vwc.edu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Joanna Clark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Hali Goad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Maury Howard</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Virginia Wesleyan College, Virginia Beach, VA, United States. </w:t>
                  </w:r>
                  <w:r w:rsidRPr="001F5B5C">
                    <w:rPr>
                      <w:rFonts w:ascii="Times New Roman" w:eastAsia="Times New Roman" w:hAnsi="Times New Roman"/>
                      <w:sz w:val="20"/>
                      <w:szCs w:val="20"/>
                    </w:rPr>
                    <w:br/>
                    <w:t xml:space="preserve">2. Chemistry, Virginia Wesleyan College, Norfolk,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Storm water retention ponds (SWRP) are used to enhance water quality by allowing sediments, nutrients and other pollutants to settle and/or be absorbed by surrounding vegetation. It has been shown that increased vegetation surrounding SWRP increases the efficiency of the pond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By deploying floating vegetation mats within the pond, it was hypothesized that the rate of efficiency would increase with the addition of vegetation. To test this hypothesis, samples of runoff and pond input / outputs were collected from four campus stormwater ponds before and after the deployment of floating vegetation mats. In addition, a small scale experiment was conducted comparing the performance of vegetation mats versus surface coverage using eighteen 440-gallon pond simulation tanks. Samples from tanks were collected biweekly and analyzed using ion chromatography to determine the concentrations of phosphate and nitrate as indicators of nutrient concentration. General water quality parameters such as pH, turbidity, temperature and TDS were also monitored. This presentation will specifically address the results of the small-scale experiment. Further studies investigating vegetative impact on artificially increased metals and nutrient loads are anticipated. </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1. Davis, </w:t>
                  </w:r>
                  <w:r w:rsidRPr="001F5B5C">
                    <w:rPr>
                      <w:rFonts w:ascii="Times New Roman" w:eastAsia="Times New Roman" w:hAnsi="Times New Roman"/>
                      <w:i/>
                      <w:iCs/>
                      <w:sz w:val="20"/>
                      <w:szCs w:val="20"/>
                    </w:rPr>
                    <w:t>et al</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Water Environ. Res</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2003</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75</w:t>
                  </w:r>
                  <w:r w:rsidRPr="001F5B5C">
                    <w:rPr>
                      <w:rFonts w:ascii="Times New Roman" w:eastAsia="Times New Roman" w:hAnsi="Times New Roman"/>
                      <w:sz w:val="20"/>
                      <w:szCs w:val="20"/>
                    </w:rPr>
                    <w:t>, 73-82.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2356622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predicted ensemble of 3D structures for OR1A1-4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Christian Seitz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cseitz@elon.edu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Christian Seitz</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William A. Goddard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Soo-Kyung Kim</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139-74, Calif Inst of Technology, Pasadena, CA, United States. </w:t>
                  </w:r>
                  <w:r w:rsidRPr="001F5B5C">
                    <w:rPr>
                      <w:rFonts w:ascii="Times New Roman" w:eastAsia="Times New Roman" w:hAnsi="Times New Roman"/>
                      <w:sz w:val="20"/>
                      <w:szCs w:val="20"/>
                    </w:rPr>
                    <w:br/>
                    <w:t xml:space="preserve">2. Elon University, Elon,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Human olfactory receptors (hORs) are members of Class A G protein-coupled receptors (GPCRs), which </w:t>
                  </w:r>
                  <w:proofErr w:type="gramStart"/>
                  <w:r w:rsidRPr="001F5B5C">
                    <w:rPr>
                      <w:rFonts w:ascii="Times New Roman" w:eastAsia="Times New Roman" w:hAnsi="Times New Roman"/>
                      <w:sz w:val="20"/>
                      <w:szCs w:val="20"/>
                    </w:rPr>
                    <w:t>is</w:t>
                  </w:r>
                  <w:proofErr w:type="gramEnd"/>
                  <w:r w:rsidRPr="001F5B5C">
                    <w:rPr>
                      <w:rFonts w:ascii="Times New Roman" w:eastAsia="Times New Roman" w:hAnsi="Times New Roman"/>
                      <w:sz w:val="20"/>
                      <w:szCs w:val="20"/>
                    </w:rPr>
                    <w:t xml:space="preserve"> the largest class of GPCRs; molecules binding to hORs, known as odorants, give us our sense of smell. However, the 3D structure and binding details of most hORs are not known. The energetically-best 3D conformations were predicted for OR1A1-4 using Monte Carlo methods to sample ~200,000 structures from ~40 trillion possible conformations. The top 25 structures for OR1A1-4 were ranked according to energy, and three structures were selected for ligand docking using criteria including structural diversity, hydrogen bond energy, and conserved 1-2-7 and 3-6 interactions. OR1A1-4 was then docked with two structurally similar odorants, one (nonanal) that had been previously determined to activate OR1A1-4 and one (hexanal) that did not activate OR1A1-4. Both odorants docked to a previously identified amino acid (Q100) that was a putative residue for activation. Five cycles of quench annealing were then run to lower the energy. After comparing the final nonbonding energies, the activating odorant showed stronger binding to OR1A1-4 than the non-activating odorant. These results suggest key activation characteristics in OR1A1-4 and the top binding residue for nonanal and hexanal.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2356635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Ketosteroid isomerase catalyzed Kemp elimination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Enis Sanchez | Lauren Fanning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hastycapybara@gmail.com | fanninglr@g.cofc.edu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Enis Sanchez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Lauren Fanning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Kathryn Howe </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Marcello Forconi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College of Charleston, Charleston, SC, United States. </w:t>
                  </w:r>
                  <w:r w:rsidRPr="001F5B5C">
                    <w:rPr>
                      <w:rFonts w:ascii="Times New Roman" w:eastAsia="Times New Roman" w:hAnsi="Times New Roman"/>
                      <w:sz w:val="20"/>
                      <w:szCs w:val="20"/>
                    </w:rPr>
                    <w:br/>
                    <w:t xml:space="preserve">2. Academic Magnet High School, North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Ketosteroid isomerase (KSI) catalyzes the isomerization of ketosteroids by using a catalytic aspartate in its active site (Asp 38 in KSI from </w:t>
                  </w:r>
                  <w:r w:rsidRPr="001F5B5C">
                    <w:rPr>
                      <w:rFonts w:ascii="Times New Roman" w:eastAsia="Times New Roman" w:hAnsi="Times New Roman"/>
                      <w:i/>
                      <w:iCs/>
                      <w:sz w:val="20"/>
                      <w:szCs w:val="20"/>
                    </w:rPr>
                    <w:t>Comamonas testosteroni</w:t>
                  </w:r>
                  <w:r w:rsidRPr="001F5B5C">
                    <w:rPr>
                      <w:rFonts w:ascii="Times New Roman" w:eastAsia="Times New Roman" w:hAnsi="Times New Roman"/>
                      <w:sz w:val="20"/>
                      <w:szCs w:val="20"/>
                    </w:rPr>
                    <w:t>). The Kemp elimination is a reaction promoted by abstraction of a proton from the relatively acidic C3 of benzisoxazoles. Because of the similarities between these two reactions, we investigated whether KSI could catalyze the Kemp elimination. We found that KSI catalyzes the Kemp elimination of 5-nitrobenzisoxazole as well as other substituted benzisoxazole substrates. Surprisingly, mutation of Asp 38 does not slow down the reaction, suggesting that it is not involved in proton abstraction. The two mutants tested, D38G and D38N, are both more active than the wild-type enzyme. Mutation of a different aspartate (Asp 99) located within the active site resulted in ~200-fold decrease in catalytic efficiency, indicating that this residue could be the catalytic base. 4-chlorophenol and equilenin, two competitive inhibitors of native KSI activity, also inhibit the KSI-catalyzed Kemp elimination, suggesting that this reaction takes place at the active site. Remarkably, D38N KSI catalyzes the Kemp elimination with a second-order rate constant greater than those measured for several computationally-designed Kemp eliminases, suggesting that the designed Kemp eliminases do not provide transition state stabilization beyond the one arising from non-specific effects.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2360680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Effects of Mercury (II) Ion on Secondary DNA Structures Formed by T-Rich DNA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Hanfei Wang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hfwang18@gmail.com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Hanfei Wang</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Vanderbilt University, Duluth, GA, United States. </w:t>
                  </w:r>
                  <w:r w:rsidRPr="001F5B5C">
                    <w:rPr>
                      <w:rFonts w:ascii="Times New Roman" w:eastAsia="Times New Roman" w:hAnsi="Times New Roman"/>
                      <w:sz w:val="20"/>
                      <w:szCs w:val="20"/>
                    </w:rPr>
                    <w:br/>
                    <w:t xml:space="preserve">2. Chemistry, University of Mississippi, Oxford,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T-rich DNA, in the presence of mercury (II) ion, is capable of forming secondary structures similar to that of i-motifs, by forming T-Hg</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-T bonds and folding back on itself. A variety of techniques, such as UV-visible spectroscopy, circular dichroism (CD) spectroscopy, and size-exclusion chromatography using an HPLC column, were used to detect changes in the structure of the TiM DNA (sequence: 5’-(TTTC)</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TTT-3’) in the presence of mercury (II) ion, as well as in the presence of potassium chloride. UV-visible spectroscopy shows that increasing concentration of mercury (II) ion in solution with TiM decreases the absorbance at 260 nm. CD spectroscopy shows a redshifting in the peak of the spectrum, confirming that there was a conformational change in the T-rich DNA. This conformational change can be reversed by the addition of potassium chloride, which was confirmed by both UV-visible and CD spectroscopy. Size exclusion chromatography, used to determine whether the structure is intra- or intermolecular, indicates that the structure is intra-molecular, as evidenced by higher retention times of TiM in the presence of mercury (II) ion compared to retention times of TiM without the addition of mercury (II) ion. It is also found that the TiM secondary structure that is formed in the presence of mercury (II) ion is very thermodynamically stable; attempts to determine a T</w:t>
                  </w:r>
                  <w:r w:rsidRPr="001F5B5C">
                    <w:rPr>
                      <w:rFonts w:ascii="Times New Roman" w:eastAsia="Times New Roman" w:hAnsi="Times New Roman"/>
                      <w:sz w:val="20"/>
                      <w:szCs w:val="20"/>
                      <w:vertAlign w:val="subscript"/>
                    </w:rPr>
                    <w:t>m</w:t>
                  </w:r>
                  <w:r w:rsidRPr="001F5B5C">
                    <w:rPr>
                      <w:rFonts w:ascii="Times New Roman" w:eastAsia="Times New Roman" w:hAnsi="Times New Roman"/>
                      <w:sz w:val="20"/>
                      <w:szCs w:val="20"/>
                    </w:rPr>
                    <w:t xml:space="preserve"> of the T-rich DNA in that structure by taking CD spectra at 5 °C increments from 10 °C to 90 °C failed, as the signal did not change significantly at higher temperatures.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3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2361866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i/>
                      <w:iCs/>
                      <w:sz w:val="20"/>
                      <w:szCs w:val="20"/>
                    </w:rPr>
                    <w:t>Single-cell mass spectrometry – a tool for rapid biochemical analysis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Cole Townsend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coletownsend@ou.edu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Cole Townsend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Naga R. Kothapalli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Ning Pan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Zhibo Yang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Anthony W. Burgett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Biochemistry, University of Oklahoma, Norman,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Lipids are a major component of cellular biology and regulate many biochemical processes, but analyzing the concentrations of these molecules in real time currently presents a technological challenge. Although lysates can be prepared to selectively extract lipids from a population of cells, lysate preparation inherently homogenizes these extracts, thus obscuring important stochastic differences among individual cells. Moreover, these experimental methods may even degrade or remove important cellular components during lysate preparation, resulting in an incomplete picture of cellular phenomena. One innovative way to address this problem is through single-cell mass spectrometry (SCMS), which allows for cellular biochemical analysis at an unparalleled level of precision. SCMS is a cutting-edge, rapid analytical tool that pushes bioanalysis beyond the limits of current methods, which require sampling large populations of heterogeneous cells. During SCMS, cells remain intact and are exposed to very few analytical reagents, thus protecting the cells’ structural integrity and minimizing their exposure to harsh conditions. Conversely, cell lysate preparations destroy cell viability and homogenize thousands or even millions of cells, while exposing the sample to extreme changes in temperature, denaturing solvents, and other potentially damaging conditions. In the report herein, we use SCMS to immediately analyze the lipid profiles of single cancer cells. Then, we compare these data to cells treated with the natural product anticancer compound, OSW-1 (a small molecule that affects lipid processing) to observe unique patterns in the mass spectra. Finally, we compare these SCMS profiles to cell lysates that were ionized using liquid-chromatography mass spectrometry (LC-MS). In sum, we present this method of SCMS as a new and powerful tool to analyze stochastic cellular profiles in real time, demonstrating the potential of this technology to rapidly detect transient biochemical changes that might be obscured by the harsh conditions used in cell lysate preparations.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2366489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Developing a PiggyBac gene delivery system to generate autonomously bioluminescent stem cells.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Winode Handagama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winode.handagama@my.maryvillecollege.edu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Winode Handagama</w:t>
                  </w:r>
                  <w:r w:rsidRPr="001F5B5C">
                    <w:rPr>
                      <w:rFonts w:ascii="Times New Roman" w:eastAsia="Times New Roman" w:hAnsi="Times New Roman"/>
                      <w:sz w:val="20"/>
                      <w:szCs w:val="20"/>
                      <w:vertAlign w:val="superscript"/>
                    </w:rPr>
                    <w:t>1, 3</w:t>
                  </w:r>
                  <w:r w:rsidRPr="001F5B5C">
                    <w:rPr>
                      <w:rFonts w:ascii="Times New Roman" w:eastAsia="Times New Roman" w:hAnsi="Times New Roman"/>
                      <w:sz w:val="20"/>
                      <w:szCs w:val="20"/>
                    </w:rPr>
                    <w:t>, Tingting Xu</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Steven A. Ripp</w:t>
                  </w:r>
                  <w:r w:rsidRPr="001F5B5C">
                    <w:rPr>
                      <w:rFonts w:ascii="Times New Roman" w:eastAsia="Times New Roman" w:hAnsi="Times New Roman"/>
                      <w:sz w:val="20"/>
                      <w:szCs w:val="20"/>
                      <w:vertAlign w:val="superscript"/>
                    </w:rPr>
                    <w:t>2, 3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Maryville College, Knoxville, TN, United States. </w:t>
                  </w:r>
                  <w:r w:rsidRPr="001F5B5C">
                    <w:rPr>
                      <w:rFonts w:ascii="Times New Roman" w:eastAsia="Times New Roman" w:hAnsi="Times New Roman"/>
                      <w:sz w:val="20"/>
                      <w:szCs w:val="20"/>
                    </w:rPr>
                    <w:br/>
                    <w:t xml:space="preserve">2. University of Tennessee, Knoxville, TN, United States. </w:t>
                  </w:r>
                  <w:r w:rsidRPr="001F5B5C">
                    <w:rPr>
                      <w:rFonts w:ascii="Times New Roman" w:eastAsia="Times New Roman" w:hAnsi="Times New Roman"/>
                      <w:sz w:val="20"/>
                      <w:szCs w:val="20"/>
                    </w:rPr>
                    <w:br/>
                    <w:t xml:space="preserve">3. Center for Environmental Biotechnology, University of Tennessee, Knoxville,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Animal models are frequently utilized in toxicity screening to evaluate the safety of compounds used in medicines, agricultural products, industry and cosmetics. This methodology requires many animals, is extremely costly, labor-intensive, and time-consuming. Stem cell-based toxicity assays present a cost-effective and time-efficient alternative to conventional animal toxicity studies, and allow for assessment of the toxicity of compounds in undifferentiated cell lines. In recent years, the inhibition of light emitted via a bioluminescent pathway has been the basis for several toxicity bioassays, which correlate the degree of light inhibition with the toxicity of the compound of interest. Our laboratory has developed a “humanized” bacterial luciferase (</w:t>
                  </w:r>
                  <w:r w:rsidRPr="001F5B5C">
                    <w:rPr>
                      <w:rFonts w:ascii="Times New Roman" w:eastAsia="Times New Roman" w:hAnsi="Times New Roman"/>
                      <w:i/>
                      <w:iCs/>
                      <w:sz w:val="20"/>
                      <w:szCs w:val="20"/>
                    </w:rPr>
                    <w:t>lux</w:t>
                  </w:r>
                  <w:r w:rsidRPr="001F5B5C">
                    <w:rPr>
                      <w:rFonts w:ascii="Times New Roman" w:eastAsia="Times New Roman" w:hAnsi="Times New Roman"/>
                      <w:sz w:val="20"/>
                      <w:szCs w:val="20"/>
                    </w:rPr>
                    <w:t xml:space="preserve">) gene cassette that allows for human cells expressing these genes to constitutively luminesce throughout their lifetime. This study sought to develop a </w:t>
                  </w:r>
                  <w:r w:rsidRPr="001F5B5C">
                    <w:rPr>
                      <w:rFonts w:ascii="Times New Roman" w:eastAsia="Times New Roman" w:hAnsi="Times New Roman"/>
                      <w:i/>
                      <w:iCs/>
                      <w:sz w:val="20"/>
                      <w:szCs w:val="20"/>
                    </w:rPr>
                    <w:t>PiggyBac</w:t>
                  </w:r>
                  <w:r w:rsidRPr="001F5B5C">
                    <w:rPr>
                      <w:rFonts w:ascii="Times New Roman" w:eastAsia="Times New Roman" w:hAnsi="Times New Roman"/>
                      <w:sz w:val="20"/>
                      <w:szCs w:val="20"/>
                    </w:rPr>
                    <w:t xml:space="preserve"> transposon gene delivery system to generate constitutively bioluminescent stem cells for use in toxicity bioassays. Due to stem cells’ difficult-to-transfect nature, four commercially available transfection reagents (Lipofectamine, Viafect, FuGENE, and EndoFectin) were evaluated for their effectiveness to co-deliver a </w:t>
                  </w:r>
                  <w:r w:rsidRPr="001F5B5C">
                    <w:rPr>
                      <w:rFonts w:ascii="Times New Roman" w:eastAsia="Times New Roman" w:hAnsi="Times New Roman"/>
                      <w:i/>
                      <w:iCs/>
                      <w:sz w:val="20"/>
                      <w:szCs w:val="20"/>
                    </w:rPr>
                    <w:t>PiggyBac</w:t>
                  </w:r>
                  <w:r w:rsidRPr="001F5B5C">
                    <w:rPr>
                      <w:rFonts w:ascii="Times New Roman" w:eastAsia="Times New Roman" w:hAnsi="Times New Roman"/>
                      <w:sz w:val="20"/>
                      <w:szCs w:val="20"/>
                    </w:rPr>
                    <w:t xml:space="preserve"> transposon containing the humanized </w:t>
                  </w:r>
                  <w:r w:rsidRPr="001F5B5C">
                    <w:rPr>
                      <w:rFonts w:ascii="Times New Roman" w:eastAsia="Times New Roman" w:hAnsi="Times New Roman"/>
                      <w:i/>
                      <w:iCs/>
                      <w:sz w:val="20"/>
                      <w:szCs w:val="20"/>
                    </w:rPr>
                    <w:t>lux</w:t>
                  </w:r>
                  <w:r w:rsidRPr="001F5B5C">
                    <w:rPr>
                      <w:rFonts w:ascii="Times New Roman" w:eastAsia="Times New Roman" w:hAnsi="Times New Roman"/>
                      <w:sz w:val="20"/>
                      <w:szCs w:val="20"/>
                    </w:rPr>
                    <w:t xml:space="preserve"> cassette under the control of a CMV promoter and a vector coding for the </w:t>
                  </w:r>
                  <w:r w:rsidRPr="001F5B5C">
                    <w:rPr>
                      <w:rFonts w:ascii="Times New Roman" w:eastAsia="Times New Roman" w:hAnsi="Times New Roman"/>
                      <w:i/>
                      <w:iCs/>
                      <w:sz w:val="20"/>
                      <w:szCs w:val="20"/>
                    </w:rPr>
                    <w:t>PiggyBac</w:t>
                  </w:r>
                  <w:r w:rsidRPr="001F5B5C">
                    <w:rPr>
                      <w:rFonts w:ascii="Times New Roman" w:eastAsia="Times New Roman" w:hAnsi="Times New Roman"/>
                      <w:sz w:val="20"/>
                      <w:szCs w:val="20"/>
                    </w:rPr>
                    <w:t xml:space="preserve"> transposase to human embryo kidney (HEK293) and pancreatic cancer (AsPC-1) cells. The Viafect transfection agent consistently demonstrated the highest transfection efficiency in both cell lines, producing at least a 2-fold increase in bioluminescence in transfected cells compared to those transfected with other agents. It was also demonstrated that although the CMV promoter-driven </w:t>
                  </w:r>
                  <w:r w:rsidRPr="001F5B5C">
                    <w:rPr>
                      <w:rFonts w:ascii="Times New Roman" w:eastAsia="Times New Roman" w:hAnsi="Times New Roman"/>
                      <w:i/>
                      <w:iCs/>
                      <w:sz w:val="20"/>
                      <w:szCs w:val="20"/>
                    </w:rPr>
                    <w:t>lux</w:t>
                  </w:r>
                  <w:r w:rsidRPr="001F5B5C">
                    <w:rPr>
                      <w:rFonts w:ascii="Times New Roman" w:eastAsia="Times New Roman" w:hAnsi="Times New Roman"/>
                      <w:sz w:val="20"/>
                      <w:szCs w:val="20"/>
                    </w:rPr>
                    <w:t xml:space="preserve"> cassette produced a higher bioluminescence in many immortalized cell lines, human elongation factor 1-α (EF1-α) promoter was able to drive higher level of bioluminescence in equine mesenchymal stem cells. As a result, a novel </w:t>
                  </w:r>
                  <w:r w:rsidRPr="001F5B5C">
                    <w:rPr>
                      <w:rFonts w:ascii="Times New Roman" w:eastAsia="Times New Roman" w:hAnsi="Times New Roman"/>
                      <w:i/>
                      <w:iCs/>
                      <w:sz w:val="20"/>
                      <w:szCs w:val="20"/>
                    </w:rPr>
                    <w:t>PiggyBac</w:t>
                  </w:r>
                  <w:r w:rsidRPr="001F5B5C">
                    <w:rPr>
                      <w:rFonts w:ascii="Times New Roman" w:eastAsia="Times New Roman" w:hAnsi="Times New Roman"/>
                      <w:sz w:val="20"/>
                      <w:szCs w:val="20"/>
                    </w:rPr>
                    <w:t xml:space="preserve"> transposon harboring the EF1-α-driven </w:t>
                  </w:r>
                  <w:r w:rsidRPr="001F5B5C">
                    <w:rPr>
                      <w:rFonts w:ascii="Times New Roman" w:eastAsia="Times New Roman" w:hAnsi="Times New Roman"/>
                      <w:i/>
                      <w:iCs/>
                      <w:sz w:val="20"/>
                      <w:szCs w:val="20"/>
                    </w:rPr>
                    <w:t>lux</w:t>
                  </w:r>
                  <w:r w:rsidRPr="001F5B5C">
                    <w:rPr>
                      <w:rFonts w:ascii="Times New Roman" w:eastAsia="Times New Roman" w:hAnsi="Times New Roman"/>
                      <w:sz w:val="20"/>
                      <w:szCs w:val="20"/>
                    </w:rPr>
                    <w:t xml:space="preserve"> cassette was developed in this study and is currently being evaluated in stem cells using the Viafect transfection agent.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2366918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Carbapenem Functionalized Gold Nanoparticle Synthesis, Characterization and Antibacterial Susceptibility Testing</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Fenil Chavda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fenil.chavda165@topper.wku.edu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Fenil Chavda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Jason Payne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Rajalingam Dakshinamurthy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Western Kentucky University, Bowling Green, KY,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With soaring increase in the cases of multi-drug resistant (MDR) bacteria all over the world, we are on the verge of entering post-antibiotic era if no immediate action is taken against this global crisis. As an alternative route to modify current commercial antibiotics, we made an attempt to design an array of effective antibacterial agents involving gold nanoparticles (AuNPs) conjugated to an antibiotic, like those of the carbapenem drug class. Carbapenems, a sub-class of β-lactams, are considered to be among those drugs of last resort with regards to bacterial infections. Due to recent emergence of infections due to both Gram-positive and Gram-negative bacterial strains with advanced patterns of antimicrobial resistance bactericidal agents such as these are being view </w:t>
                  </w:r>
                  <w:proofErr w:type="gramStart"/>
                  <w:r w:rsidRPr="001F5B5C">
                    <w:rPr>
                      <w:rFonts w:ascii="Times New Roman" w:eastAsia="Times New Roman" w:hAnsi="Times New Roman"/>
                      <w:sz w:val="20"/>
                      <w:szCs w:val="20"/>
                    </w:rPr>
                    <w:t>as a prime candidates</w:t>
                  </w:r>
                  <w:proofErr w:type="gramEnd"/>
                  <w:r w:rsidRPr="001F5B5C">
                    <w:rPr>
                      <w:rFonts w:ascii="Times New Roman" w:eastAsia="Times New Roman" w:hAnsi="Times New Roman"/>
                      <w:sz w:val="20"/>
                      <w:szCs w:val="20"/>
                    </w:rPr>
                    <w:t xml:space="preserve"> for further development and augmentation. Unlike conventional methods, a unique self-patented green process was used for AuNPs synthesis wherein the antibiotic assists in both reducing and stabilizing the AuNPs resulting in antibiotic conjugated gold nanoparticles (Car-AuNPs) which were morphologically characterized using transmission electron microscope (TEM), UV-Vis spectroscopy, scanning electron microscopy/energy-dispersive X-ray spectroscopy (SEM-EDS), and dynamic light scattering (DLS). The presence of ligand (antibiotic) onto AuNPs was confirmed using TGA analysis. Antibacterial efficiency was evaluated on Gram-positive and Gram-negative bacterial strains using turbidmetric and spread plate assay. AuNPs activity was further confirmed with propidium iodide assay. Super-thin cross-sections of bacteria treated with Car-AuNPs observed under TEM showed bactericidal activity by causing perforations and disturbing the cellular environment leading to cell lysis and apoptosis. The minimum inhibitory </w:t>
                  </w:r>
                  <w:proofErr w:type="gramStart"/>
                  <w:r w:rsidRPr="001F5B5C">
                    <w:rPr>
                      <w:rFonts w:ascii="Times New Roman" w:eastAsia="Times New Roman" w:hAnsi="Times New Roman"/>
                      <w:sz w:val="20"/>
                      <w:szCs w:val="20"/>
                    </w:rPr>
                    <w:t>concentrations (MIC) of Car-AuNPs was</w:t>
                  </w:r>
                  <w:proofErr w:type="gramEnd"/>
                  <w:r w:rsidRPr="001F5B5C">
                    <w:rPr>
                      <w:rFonts w:ascii="Times New Roman" w:eastAsia="Times New Roman" w:hAnsi="Times New Roman"/>
                      <w:sz w:val="20"/>
                      <w:szCs w:val="20"/>
                    </w:rPr>
                    <w:t xml:space="preserve"> significantly less when compared to pure antibiotic drugs which proves the synergistic activity of Car-AuNPs.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2367810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"Click" approach to HMGA disruption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Daniela Mesa Sanchez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daniela.mesasanchez@furman.edu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Daniela Mesa Sanchez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Haley Stubbs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Lake Rabenold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Karen L. Buchmueller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Hendersonville,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Commonly found in healthy human embryos to facilitate transcription and cell differentiation, the high mobility group A family of proteins (HMGA) has been linked to metastatic cancer when over-expressed in adults. Through cooperative binding of A/T hooks motifs, HMGA binds A/T rich regions of minor groove DNA. As HMGA activity is directly related to the protein’s ability to bind DNA, means of inhibiting this binding are of vast interest in the development of novel chemotherapeutics. Presently, studies seek to architecturally modify the DNA binding site by means of “click”- enabled bioconjugation with the goal of characterizing the selective inhibition of cooperative binding by HMGA.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2368320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Metalloregulation by Nur from </w:t>
                  </w:r>
                  <w:r w:rsidRPr="001F5B5C">
                    <w:rPr>
                      <w:rFonts w:ascii="Times New Roman" w:eastAsia="Times New Roman" w:hAnsi="Times New Roman"/>
                      <w:i/>
                      <w:iCs/>
                      <w:sz w:val="20"/>
                      <w:szCs w:val="20"/>
                    </w:rPr>
                    <w:t>Streptomyces coelicolor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Olivia Manley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manleyo2@winthrop.edu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Olivia Manley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Nick E. Grossoehme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Winthrop University, Rock Hill, SC, United States. </w:t>
                  </w:r>
                  <w:r w:rsidRPr="001F5B5C">
                    <w:rPr>
                      <w:rFonts w:ascii="Times New Roman" w:eastAsia="Times New Roman" w:hAnsi="Times New Roman"/>
                      <w:sz w:val="20"/>
                      <w:szCs w:val="20"/>
                    </w:rPr>
                    <w:br/>
                    <w:t xml:space="preserve">2. Department of Chemistry, Physics, and Geology, Winthrop University, Rock Hill,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i/>
                      <w:iCs/>
                      <w:sz w:val="20"/>
                      <w:szCs w:val="20"/>
                    </w:rPr>
                    <w:t>Streptomyces coelicolor</w:t>
                  </w:r>
                  <w:r w:rsidRPr="001F5B5C">
                    <w:rPr>
                      <w:rFonts w:ascii="Times New Roman" w:eastAsia="Times New Roman" w:hAnsi="Times New Roman"/>
                      <w:sz w:val="20"/>
                      <w:szCs w:val="20"/>
                    </w:rPr>
                    <w:t xml:space="preserve"> is a soil-dwelling actinomycete of medical importance as a result of its ability to produce several antibiotics. Nickel accumulation within this organism has been shown prevents the production of the antibiotic undecylprodigiosin. The transcriptional repressor protein important in regulation of nickel uptake is the homodimeric Nur, a member of the Fur family. In addition to maintaining nickel homeostasis within the cell, Nur regulates the response to oxidative stress. Nur contains two metal-binding sites per monomer. Our research seeks to determine the role of each of the metal-binding sites, the key residues at each of the binding sites, and the affinity of Nur for metal and DNA through metal titrations, spectroscopic assays, and fluorescence anisotropy. We have developed a new model for the action of Nur based upon metal binding at each binding site. Further biophysical characterization of Nur will allow us to confirm our model and will contribute to a better understanding of nickel regulation and conditions influencing antibiotic production within S. coelicolor.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2320859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Measurement of NADH production by lipid bodies in </w:t>
                  </w:r>
                  <w:r w:rsidRPr="001F5B5C">
                    <w:rPr>
                      <w:rFonts w:ascii="Times New Roman" w:eastAsia="Times New Roman" w:hAnsi="Times New Roman"/>
                      <w:i/>
                      <w:iCs/>
                      <w:sz w:val="20"/>
                      <w:szCs w:val="20"/>
                    </w:rPr>
                    <w:t>Brassica napus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Kenny Nguyen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KNGUY1474@ung.edu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Kenny Nguyen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Greta A. Giles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North Georgia, Dahlonega,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NADH production by lipid bodies isolated from Brassica napus in the presence of </w:t>
                  </w:r>
                  <w:proofErr w:type="gramStart"/>
                  <w:r w:rsidRPr="001F5B5C">
                    <w:rPr>
                      <w:rFonts w:ascii="Times New Roman" w:eastAsia="Times New Roman" w:hAnsi="Times New Roman"/>
                      <w:sz w:val="20"/>
                      <w:szCs w:val="20"/>
                    </w:rPr>
                    <w:t>acyl-CoA’s</w:t>
                  </w:r>
                  <w:proofErr w:type="gramEnd"/>
                  <w:r w:rsidRPr="001F5B5C">
                    <w:rPr>
                      <w:rFonts w:ascii="Times New Roman" w:eastAsia="Times New Roman" w:hAnsi="Times New Roman"/>
                      <w:sz w:val="20"/>
                      <w:szCs w:val="20"/>
                    </w:rPr>
                    <w:t xml:space="preserve"> was measured using an NADH cycling assay. During germination the fats stored in the lipid bodies of seedlings is mobilized to support seedling growth. Triacylglycerols in the lipids bodies are degraded by lipases to form free fatty acids which are then converted to acyl CoA’s and metabolized by beta oxidation in glyoxysomes. Acyl-CoA synthetase activity has been observed in isolated lipid bodies from germinating Brassica napus suggesting other enzymes necessary for metabolism of fatty acids may be present in lipid bodies. The rate of NADH production by isolated lipid bodies in the presence of different acyl-CoA’s was measured by following the reductions of phenazine ethosulfate and thiazolyl blue tetrazolium bromide.</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2345826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Ladybirds: Detection and determination of alkaloid compounds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William Perry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kkx645@mocs.utc.edu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William Perry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Yukie Kajita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Manuel F. Santiago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Tennessee at Chattanooga, Chattanooga, TN, United States. </w:t>
                  </w:r>
                  <w:r w:rsidRPr="001F5B5C">
                    <w:rPr>
                      <w:rFonts w:ascii="Times New Roman" w:eastAsia="Times New Roman" w:hAnsi="Times New Roman"/>
                      <w:sz w:val="20"/>
                      <w:szCs w:val="20"/>
                    </w:rPr>
                    <w:br/>
                    <w:t xml:space="preserve">2. Biology and Environmental Science, University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Predatory ladybird beetles (Coleoptera: Coccinellidae) are known as natural enemies for several agricultural pest insects. They contain various alkaloid compounds for their defense and aposematic coloration. In general, alkaloids are a large group of compounds that are divided into three basic categories: steroid, straight chain, and heterocyclic. A thorough analysis of the alkaloids can provide insight towards the nutrition levels and defensive status of the insects. Two sample groups of ladybird beetle eggs from </w:t>
                  </w:r>
                  <w:r w:rsidRPr="001F5B5C">
                    <w:rPr>
                      <w:rFonts w:ascii="Times New Roman" w:eastAsia="Times New Roman" w:hAnsi="Times New Roman"/>
                      <w:i/>
                      <w:iCs/>
                      <w:sz w:val="20"/>
                      <w:szCs w:val="20"/>
                    </w:rPr>
                    <w:t>Coccinella septempunctata</w:t>
                  </w:r>
                  <w:r w:rsidRPr="001F5B5C">
                    <w:rPr>
                      <w:rFonts w:ascii="Times New Roman" w:eastAsia="Times New Roman" w:hAnsi="Times New Roman"/>
                      <w:sz w:val="20"/>
                      <w:szCs w:val="20"/>
                    </w:rPr>
                    <w:t xml:space="preserve"> were collected in different time periods and analyzed by UV-Vis, fluorimeter, HPLC, and GC-MS. During the course of the project, novel methods were developed to quantify three (</w:t>
                  </w:r>
                  <w:proofErr w:type="gramStart"/>
                  <w:r w:rsidRPr="001F5B5C">
                    <w:rPr>
                      <w:rFonts w:ascii="Times New Roman" w:eastAsia="Times New Roman" w:hAnsi="Times New Roman"/>
                      <w:sz w:val="20"/>
                      <w:szCs w:val="20"/>
                    </w:rPr>
                    <w:t>3 )</w:t>
                  </w:r>
                  <w:proofErr w:type="gramEnd"/>
                  <w:r w:rsidRPr="001F5B5C">
                    <w:rPr>
                      <w:rFonts w:ascii="Times New Roman" w:eastAsia="Times New Roman" w:hAnsi="Times New Roman"/>
                      <w:sz w:val="20"/>
                      <w:szCs w:val="20"/>
                    </w:rPr>
                    <w:t xml:space="preserve"> different alkaloids of cholesterol, octadecyl acetate, and estradiol. The results showed that the overall amount of the 3 different alkaloids was similar; however, the average concentration of each varied between the groups. Those variations might be explained by females’ reproductive conditions including age and feeding habit.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2351489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chalcones that mimic resveratrol and curcumin and inhibit amyloid-beta (1-40) aggregation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Corey Bray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csbray123@comcast.net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Corey S. Bray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 Higgins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Jared Reed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Paul A. Martino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Carson-Newman </w:t>
                  </w:r>
                  <w:proofErr w:type="gramStart"/>
                  <w:r w:rsidRPr="001F5B5C">
                    <w:rPr>
                      <w:rFonts w:ascii="Times New Roman" w:eastAsia="Times New Roman" w:hAnsi="Times New Roman"/>
                      <w:sz w:val="20"/>
                      <w:szCs w:val="20"/>
                    </w:rPr>
                    <w:t>University ,</w:t>
                  </w:r>
                  <w:proofErr w:type="gramEnd"/>
                  <w:r w:rsidRPr="001F5B5C">
                    <w:rPr>
                      <w:rFonts w:ascii="Times New Roman" w:eastAsia="Times New Roman" w:hAnsi="Times New Roman"/>
                      <w:sz w:val="20"/>
                      <w:szCs w:val="20"/>
                    </w:rPr>
                    <w:t xml:space="preserve"> Jefferson City,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Amyloidogenisis in Alzheimer’s disease is the association of amyloid-beta peptides (Aβ-peptides) into oligomeric structures ultimately leading to the formation of fibrils and plaques. Aβ-peptides are rapidly produced by enzymatic processing of the neuronal transmembrane amyloid precursor protein (APP). Aβ-peptides are found primarily outside the neuronal cells and are produced by two alternative pathways, a non-pathogenic or non-amyloidogenic pathway, and a pathogenic or amyloidogenic pathway. Aβ-peptides are typically produced in varying lengths and often possess amphipathic properties. The most widely studied of Aβ-peptides are the amylodogenic </w:t>
                  </w:r>
                  <w:proofErr w:type="gramStart"/>
                  <w:r w:rsidRPr="001F5B5C">
                    <w:rPr>
                      <w:rFonts w:ascii="Times New Roman" w:eastAsia="Times New Roman" w:hAnsi="Times New Roman"/>
                      <w:sz w:val="20"/>
                      <w:szCs w:val="20"/>
                    </w:rPr>
                    <w:t>Aβ(</w:t>
                  </w:r>
                  <w:proofErr w:type="gramEnd"/>
                  <w:r w:rsidRPr="001F5B5C">
                    <w:rPr>
                      <w:rFonts w:ascii="Times New Roman" w:eastAsia="Times New Roman" w:hAnsi="Times New Roman"/>
                      <w:sz w:val="20"/>
                      <w:szCs w:val="20"/>
                    </w:rPr>
                    <w:t>1-40) peptide and the slightly longer and significantly more pathogenic Aβ(1-42) peptide.</w:t>
                  </w:r>
                  <w:r w:rsidRPr="001F5B5C">
                    <w:rPr>
                      <w:rFonts w:ascii="Times New Roman" w:eastAsia="Times New Roman" w:hAnsi="Times New Roman"/>
                      <w:sz w:val="20"/>
                      <w:szCs w:val="20"/>
                    </w:rPr>
                    <w:br/>
                    <w:t xml:space="preserve">Recent studies show that both </w:t>
                  </w:r>
                  <w:proofErr w:type="gramStart"/>
                  <w:r w:rsidRPr="001F5B5C">
                    <w:rPr>
                      <w:rFonts w:ascii="Times New Roman" w:eastAsia="Times New Roman" w:hAnsi="Times New Roman"/>
                      <w:sz w:val="20"/>
                      <w:szCs w:val="20"/>
                    </w:rPr>
                    <w:t>Aβ(</w:t>
                  </w:r>
                  <w:proofErr w:type="gramEnd"/>
                  <w:r w:rsidRPr="001F5B5C">
                    <w:rPr>
                      <w:rFonts w:ascii="Times New Roman" w:eastAsia="Times New Roman" w:hAnsi="Times New Roman"/>
                      <w:sz w:val="20"/>
                      <w:szCs w:val="20"/>
                    </w:rPr>
                    <w:t xml:space="preserve">1-40) and Aβ(1-42) peptides form cytotoxic oligomers that penetrate neurons and disrupt normal neuronal functions. Further studies have shown that classes of small molecules (mostly polyphenolic in nature) act to inhibit the formation of oligomers. Two small molecules of particular interest to us are resveratrol, and curcumin—both have been shown to inhibit amyloidogenisis. </w:t>
                  </w:r>
                  <w:r w:rsidRPr="001F5B5C">
                    <w:rPr>
                      <w:rFonts w:ascii="Times New Roman" w:eastAsia="Times New Roman" w:hAnsi="Times New Roman"/>
                      <w:sz w:val="20"/>
                      <w:szCs w:val="20"/>
                    </w:rPr>
                    <w:br/>
                    <w:t xml:space="preserve">In an effort to gain understanding of the binding interactions of resveratrol and curcumin to Aβ-peptides, and to optimize inhibition of amyloidogenisis, we report the synthesis, purification, and </w:t>
                  </w:r>
                  <w:proofErr w:type="gramStart"/>
                  <w:r w:rsidRPr="001F5B5C">
                    <w:rPr>
                      <w:rFonts w:ascii="Times New Roman" w:eastAsia="Times New Roman" w:hAnsi="Times New Roman"/>
                      <w:sz w:val="20"/>
                      <w:szCs w:val="20"/>
                    </w:rPr>
                    <w:t>Aβ(</w:t>
                  </w:r>
                  <w:proofErr w:type="gramEnd"/>
                  <w:r w:rsidRPr="001F5B5C">
                    <w:rPr>
                      <w:rFonts w:ascii="Times New Roman" w:eastAsia="Times New Roman" w:hAnsi="Times New Roman"/>
                      <w:sz w:val="20"/>
                      <w:szCs w:val="20"/>
                    </w:rPr>
                    <w:t>1-40) amyloidogenic inhibitory kinetics of three small molecules that are structurally related to resveratrol and curcumin. (2E)-1-(2,4-dihydroxyphenyl)-3-(4-hydroxyphenyl)prop-2-en-1-one, ((2E)-1-(2,5-dihydroxyphenyl)-3-(4-hydroxyphenyl)prop-2-en-1-one, and (2E)-1-(3,5-dihydroxyphenyl)-3-(4-hydroxyphenyl)prop-2-en-1-one were synthesized, purified by preparative thin-layer chromatography, and assayed for amyloidogenic inhibition using the Thioflavin-T assay.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2353272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structural analysis of aspartame using a 60 MHz NMR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Jordan Beale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jebeale@mail.lipscomb.edu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Jordan Beale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William A. Tallon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 Kent Clinger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Lipscomb University, Nashville, TN, United States. </w:t>
                  </w:r>
                  <w:r w:rsidRPr="001F5B5C">
                    <w:rPr>
                      <w:rFonts w:ascii="Times New Roman" w:eastAsia="Times New Roman" w:hAnsi="Times New Roman"/>
                      <w:sz w:val="20"/>
                      <w:szCs w:val="20"/>
                    </w:rPr>
                    <w:br/>
                    <w:t xml:space="preserve">2. Chemistry &amp; Biochemistry, Lipscomb University, Nasvhille, KY,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Experiments using nuclear magnetic resonance (NMR) spectroscopy can be designed to teach students a basic understanding of structural analysis using NMR spectra. Teaching advanced NMR techniques such as Correlated Spectroscopy (COSY) and Nuclear Overhauser Effect Spectroscopy (NOSY) is relatively difficult in smaller institutions with only lower field NMR instruments, and most of the experiments in the literature are designed for either higher field instruments or are relatively uncomplicated. However, an understanding of advanced NMR structural techniques is important for all students. An experiment is described here using a low-field (60 MHz) instrument for the analysis of a small peptide. Students prepare component amino acids and peptide samples in DMSO and D</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O. Proton peaks are initially assigned to certain atoms in the peptide using a simple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 NMR spectrum. Comparative analysis of individual amino acid spectra to the peptide spectrum confirms the original assignment of peaks to specific atoms. Water Eliminated Fourier Transform (WEFT) analysis is utilized to assist in detecting proton peaks masked by water. Students utilize (COSY) and solve for coupling constants from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 NMR spectra to finalize the relationship between tentatively assigned peaks and atoms. The experiment incorporates (NOESY) for the determination of intramolecular distances in solution. Lab instructors can include an optional computational chemistry exercise for students to compare experimental and computer-generated data. This experiment is appropriate for undergraduate organic or biochemistry lab using accessible and non-hazardous biomolecules.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2353669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Biosynthesis of the recently discovered peptide hormone preptin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Abbee Stallone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stallone_abbee@columbusstate.edu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Abbee Stallone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Trey Pritchett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Jonathan M. Meyers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Columbus State University, Columbus,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Preptin, a 34-amino-acid peptide, is the newest member of the insulin family of peptide hormones, and was isolated from the secretory granules of pancreatic β-cells in 2001. It has been found to participate in vital processes such as cellular differentiation, modulation of insulin sensitivity, and regulation of bone density. However, the hormone active site, and subsequently, its mode of action have yet to be determined due to the short life span of native peptide. Preptin is highly susceptible to enzymatic cleavage, and its short life span has hindered biochemical characterization. It was recently reported that preptin analogs chemically synthesized with mutations at position 21 are resistant to enzymatic </w:t>
                  </w:r>
                  <w:proofErr w:type="gramStart"/>
                  <w:r w:rsidRPr="001F5B5C">
                    <w:rPr>
                      <w:rFonts w:ascii="Times New Roman" w:eastAsia="Times New Roman" w:hAnsi="Times New Roman"/>
                      <w:sz w:val="20"/>
                      <w:szCs w:val="20"/>
                    </w:rPr>
                    <w:t>cleavage</w:t>
                  </w:r>
                  <w:proofErr w:type="gramEnd"/>
                  <w:r w:rsidRPr="001F5B5C">
                    <w:rPr>
                      <w:rFonts w:ascii="Times New Roman" w:eastAsia="Times New Roman" w:hAnsi="Times New Roman"/>
                      <w:sz w:val="20"/>
                      <w:szCs w:val="20"/>
                    </w:rPr>
                    <w:t>. Solid phase peptide synthesis is prohibitively expensive for primarily undergraduate research labs. We report the successful synthesis of native rat preptin and a green fluorescent protein fusion with Ala</w:t>
                  </w:r>
                  <w:r w:rsidRPr="001F5B5C">
                    <w:rPr>
                      <w:rFonts w:ascii="Times New Roman" w:eastAsia="Times New Roman" w:hAnsi="Times New Roman"/>
                      <w:sz w:val="20"/>
                      <w:szCs w:val="20"/>
                      <w:vertAlign w:val="superscript"/>
                    </w:rPr>
                    <w:t>21</w:t>
                  </w:r>
                  <w:r w:rsidRPr="001F5B5C">
                    <w:rPr>
                      <w:rFonts w:ascii="Times New Roman" w:eastAsia="Times New Roman" w:hAnsi="Times New Roman"/>
                      <w:sz w:val="20"/>
                      <w:szCs w:val="20"/>
                    </w:rPr>
                    <w:t xml:space="preserve"> preptin. It is believed that these are the first reported biosyntheses of preptin or preptin analogs.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4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2356608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Characterization and biochemical analysis of noncanonical coronavirus macrodomains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Matthew Chan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mchan303@uab.edu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Matthew Chan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Robert Hammond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Chong Tian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Xuan Tan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Anupam Goel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Margaret A. Johnson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Alabama at Birmingham, Birmingham,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Coronaviruses (CoVs) are complex, positive-sense RNA viruses that are responsible for mild to severe respiratory tract infections. Infecting both humans and animals, these viruses undergo complex infectious cycles including multiple RNA processing steps. These viruses produce a class of proteins classified as macrodomains which are a key </w:t>
                  </w:r>
                  <w:proofErr w:type="gramStart"/>
                  <w:r w:rsidRPr="001F5B5C">
                    <w:rPr>
                      <w:rFonts w:ascii="Times New Roman" w:eastAsia="Times New Roman" w:hAnsi="Times New Roman"/>
                      <w:sz w:val="20"/>
                      <w:szCs w:val="20"/>
                    </w:rPr>
                    <w:t>poly(</w:t>
                  </w:r>
                  <w:proofErr w:type="gramEnd"/>
                  <w:r w:rsidRPr="001F5B5C">
                    <w:rPr>
                      <w:rFonts w:ascii="Times New Roman" w:eastAsia="Times New Roman" w:hAnsi="Times New Roman"/>
                      <w:sz w:val="20"/>
                      <w:szCs w:val="20"/>
                    </w:rPr>
                    <w:t>ADP-ribose) (PAR) binding module. They are involved in many cellular processes such as DNA damage repair and cell signaling. We are investigating the macrodomain proteins of bat coronaviruses (Bt-CoV) HKU4 and HKU9, which share sequence identity with human coronaviruses such as SARS (severe acute respiratory syndrome) and MERS (Middle East respiratory syndrome). Through homology modeling, solution NMR analysis, and biochemical assays, the domain M of HKU4 has been shown to bind G-quadruplex DNA and RNA, similar to the SARS-CoV. With future studies and analysis, our goal is to fully understand the relationship between structure and biochemical functions of these coronavirus macrodomains.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2357442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Identification of factors stabilizing the 3D structure of the goodpasture autoantigen of glomerular basement membrane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Tatiana Mikhailova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mikhailovat@berea.edu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Tatiana Mikhailova</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Berea College, Berea, KY, United States. </w:t>
                  </w:r>
                  <w:r w:rsidRPr="001F5B5C">
                    <w:rPr>
                      <w:rFonts w:ascii="Times New Roman" w:eastAsia="Times New Roman" w:hAnsi="Times New Roman"/>
                      <w:sz w:val="20"/>
                      <w:szCs w:val="20"/>
                    </w:rPr>
                    <w:br/>
                    <w:t xml:space="preserve">2. Devision of Nephrology and Hypertension, Vanderbilt University Medical Center,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Goodpasture disease, autoantibodies bind to α3 and α5 NC1 domains of collagen IV in glomerular basement membrane (GBM), leading to rapidly developing glomerulonephritis and renal failure. These domains exist in GBM as a hexameric complex, termed the Goodpasture autoantigen, which is composed of α3, α4 and α5 NC1 monomers. Significant amounts of these monomers are crosslinked with sulfilimine bonds, which might be the reason why the native α345 hexamers do not bind Goodpasture autoantibodies. Here, we investigated the factors that contribute to the hexamer stability and inertness toward binding of autoantibodies. For this study we have purified human recombinant α3, α4, and α5 NC1 monomers from mammalian cell culture media using FLAG affinity chromatography. Through FPLC size exclusion chromatography on Superdex S200 column, we demonstrated that α345 hexamer assembly requires the presence of physiological concentration of NaCl. Furthermore, we showed that sulfilimine bond introduced through the oxidation of methionine residues with hypobromous acid stabilizes hexamer and prevents dissociation into monomers in the chloride-free environment. We conclude that both Cl</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ions and sulfilimine crosslinks stabilize the α345 hexamer and that perturbation of either may induce pathological conformational changes initiating Goodpasture disease.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2357445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Loss of extracellular matrix Protein X causes altered function of sensory neurons in Drosophila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Clara Formby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cformby@erskine.edu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Clara Formby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Heather Cathcart</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Ellen LeMosy</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Erskine College, North Augusta, SC, United States. </w:t>
                  </w:r>
                  <w:r w:rsidRPr="001F5B5C">
                    <w:rPr>
                      <w:rFonts w:ascii="Times New Roman" w:eastAsia="Times New Roman" w:hAnsi="Times New Roman"/>
                      <w:sz w:val="20"/>
                      <w:szCs w:val="20"/>
                    </w:rPr>
                    <w:br/>
                    <w:t xml:space="preserve">2. Abraham Baldwin Agricultural College, Tifton, GA, United States. </w:t>
                  </w:r>
                  <w:r w:rsidRPr="001F5B5C">
                    <w:rPr>
                      <w:rFonts w:ascii="Times New Roman" w:eastAsia="Times New Roman" w:hAnsi="Times New Roman"/>
                      <w:sz w:val="20"/>
                      <w:szCs w:val="20"/>
                    </w:rPr>
                    <w:br/>
                    <w:t xml:space="preserve">3. Cellular Biology and Anatomy, Georgia Regents University, Augusta,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Protein X, whose related proteins in humans may be involved in craniofacial and kidney disorders, was studied in the fruit fly </w:t>
                  </w:r>
                  <w:r w:rsidRPr="001F5B5C">
                    <w:rPr>
                      <w:rFonts w:ascii="Times New Roman" w:eastAsia="Times New Roman" w:hAnsi="Times New Roman"/>
                      <w:i/>
                      <w:iCs/>
                      <w:sz w:val="20"/>
                      <w:szCs w:val="20"/>
                    </w:rPr>
                    <w:t>Drosophila</w:t>
                  </w:r>
                  <w:r w:rsidRPr="001F5B5C">
                    <w:rPr>
                      <w:rFonts w:ascii="Times New Roman" w:eastAsia="Times New Roman" w:hAnsi="Times New Roman"/>
                      <w:sz w:val="20"/>
                      <w:szCs w:val="20"/>
                    </w:rPr>
                    <w:t xml:space="preserve"> to determine if it is required in the function of ciliated cells as previously observed in zebrafish. In addition to chemosensory assays, sensory neurons were studied under confocal and electron microscopies. Loss of Protein X caused altered chemosensory function as well as shortened and disorganized cilia in organs responsible for hearing and proprioception. These studies have gotten one step closer in understanding Protein X’s mechanism of action in order to better understand its role in human diseases.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2358289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of a neuronal viability assay using SH-SY5Y cells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Ryan Bujol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ryan.j.bujol@email.shc.edu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Ryan Bujol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 E. Oseid</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Anne S. Robinson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Spring Hill College, Westwego, LA, United States. </w:t>
                  </w:r>
                  <w:r w:rsidRPr="001F5B5C">
                    <w:rPr>
                      <w:rFonts w:ascii="Times New Roman" w:eastAsia="Times New Roman" w:hAnsi="Times New Roman"/>
                      <w:sz w:val="20"/>
                      <w:szCs w:val="20"/>
                    </w:rPr>
                    <w:br/>
                    <w:t xml:space="preserve">2. Chem and Biomolecular Eng, 300 Lindy Boggs Bldg, Tulane University, New Orleans, LA, United States. </w:t>
                  </w:r>
                  <w:r w:rsidRPr="001F5B5C">
                    <w:rPr>
                      <w:rFonts w:ascii="Times New Roman" w:eastAsia="Times New Roman" w:hAnsi="Times New Roman"/>
                      <w:sz w:val="20"/>
                      <w:szCs w:val="20"/>
                    </w:rPr>
                    <w:br/>
                    <w:t xml:space="preserve">3. </w:t>
                  </w:r>
                  <w:proofErr w:type="gramStart"/>
                  <w:r w:rsidRPr="001F5B5C">
                    <w:rPr>
                      <w:rFonts w:ascii="Times New Roman" w:eastAsia="Times New Roman" w:hAnsi="Times New Roman"/>
                      <w:sz w:val="20"/>
                      <w:szCs w:val="20"/>
                    </w:rPr>
                    <w:t>Neuroscience ,</w:t>
                  </w:r>
                  <w:proofErr w:type="gramEnd"/>
                  <w:r w:rsidRPr="001F5B5C">
                    <w:rPr>
                      <w:rFonts w:ascii="Times New Roman" w:eastAsia="Times New Roman" w:hAnsi="Times New Roman"/>
                      <w:sz w:val="20"/>
                      <w:szCs w:val="20"/>
                    </w:rPr>
                    <w:t xml:space="preserve"> Tulane University , New Orleans ,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Alzheimer’s disease affects more than 35 million people internationally and accounts for 50-70% of all dementia cases1,2. This is a compounding problem as the general population is aging and living longer. There are many potential causes of dementia, but one of the most striking is neuronal cell death. Viability assays are an important scientific tool that allows one to compare the toxicity of harmful substances of interest by a standard of cell death using precise conditions and measurement techniques. Here, a viability assay was created using the human neuroblastoma cell line, SH-SH5Y, and increasing concentrations of hydrogen peroxide (H2O2) were used to elicit cell stress and cytotoxicity. Neurotoxicity was measured using flow cytometry in combination with a proprietary live/dead dye. Previously, phosphorylated tau protein oligomers have been shown to be neurotoxic, and possibly be one of the steps that is responsible for eliciting dementia and potentially Alzheimer’s3. Good et al. has shown that Aβ oligomers are neurotoxic to cultured SH-SY5Ys4. This work will provide assistance for future experiments in which a pure tau sample can be obtained and assayed for cytotoxicity.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2358479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Biogenesis of cytochrome oxidase: Mechanism of heme </w:t>
                  </w:r>
                  <w:r w:rsidRPr="001F5B5C">
                    <w:rPr>
                      <w:rFonts w:ascii="Times New Roman" w:eastAsia="Times New Roman" w:hAnsi="Times New Roman"/>
                      <w:i/>
                      <w:iCs/>
                      <w:sz w:val="20"/>
                      <w:szCs w:val="20"/>
                    </w:rPr>
                    <w:t>a</w:t>
                  </w:r>
                  <w:r w:rsidRPr="001F5B5C">
                    <w:rPr>
                      <w:rFonts w:ascii="Times New Roman" w:eastAsia="Times New Roman" w:hAnsi="Times New Roman"/>
                      <w:sz w:val="20"/>
                      <w:szCs w:val="20"/>
                    </w:rPr>
                    <w:t xml:space="preserve"> synthase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Nicholas Taylor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taylorng@g.cofc.edu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Nicholas G. Taylor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Nicholas J. Harris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Jennifer L. Fox</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synthesis of the heme A cofactor is an essential step in the biogenesis of cytochrome oxidase, which is Complex IV of the mitochondrial respiratory chain. The heme A cofactor is unique to cytochrome oxidase and related enzymes. It is synthesized in the cell from heme B precursor by the sequential action of the heme O and heme A synthase enzymes. However, the mechanism of heme A biosynthesis has not been established, and there is little structural information on the heme A synthase. In this study, we evaluated the roles of structural features of this enzyme by generating mutant forms of the enzyme in the eukaryotic model organism </w:t>
                  </w:r>
                  <w:r w:rsidRPr="001F5B5C">
                    <w:rPr>
                      <w:rFonts w:ascii="Times New Roman" w:eastAsia="Times New Roman" w:hAnsi="Times New Roman"/>
                      <w:i/>
                      <w:iCs/>
                      <w:sz w:val="20"/>
                      <w:szCs w:val="20"/>
                    </w:rPr>
                    <w:t>Saccharomyces cerevisiae</w:t>
                  </w:r>
                  <w:r w:rsidRPr="001F5B5C">
                    <w:rPr>
                      <w:rFonts w:ascii="Times New Roman" w:eastAsia="Times New Roman" w:hAnsi="Times New Roman"/>
                      <w:sz w:val="20"/>
                      <w:szCs w:val="20"/>
                    </w:rPr>
                    <w:t xml:space="preserve"> and analyzing their ability to function and to form oligomeric structures. The goal of this project is to elucidate the enzymatic mechanism of heme A synthase and to define the role of active site residues in substrate binding and catalysis.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2358504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SdsA1 sulfohydrolase and homologous proteins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Grace Waddell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waddellgl@g.cofc.edu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Grace L. Waddell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Catherine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Noah Denman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Marcello Forconi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Jennifer L. Fox</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SdsA1 is a member of the metallo-β-lactamase superfamily that allows the bacterium </w:t>
                  </w:r>
                  <w:r w:rsidRPr="001F5B5C">
                    <w:rPr>
                      <w:rFonts w:ascii="Times New Roman" w:eastAsia="Times New Roman" w:hAnsi="Times New Roman"/>
                      <w:i/>
                      <w:iCs/>
                      <w:sz w:val="20"/>
                      <w:szCs w:val="20"/>
                    </w:rPr>
                    <w:t>Pseudomonas aeruginosa</w:t>
                  </w:r>
                  <w:r w:rsidRPr="001F5B5C">
                    <w:rPr>
                      <w:rFonts w:ascii="Times New Roman" w:eastAsia="Times New Roman" w:hAnsi="Times New Roman"/>
                      <w:sz w:val="20"/>
                      <w:szCs w:val="20"/>
                    </w:rPr>
                    <w:t xml:space="preserve"> to utilize the detergent sodium dodecyl sulfate (SDS) as its sole source of carbon and/or sulfur. Homologous proteins have been identified in all kingdoms of life, and this widespread conservation raises questions about the true biological substrate(s) of the SdsA1 homologs. In the current study, we are recombinantly expressing and subsequently purifying selected homologs of SdsA1 proposed to have different substrates, with the goal of studying their activity towards an array of substrates to determine the possible function of each enzyme </w:t>
                  </w:r>
                  <w:r w:rsidRPr="001F5B5C">
                    <w:rPr>
                      <w:rFonts w:ascii="Times New Roman" w:eastAsia="Times New Roman" w:hAnsi="Times New Roman"/>
                      <w:i/>
                      <w:iCs/>
                      <w:sz w:val="20"/>
                      <w:szCs w:val="20"/>
                    </w:rPr>
                    <w:t>in vivo</w:t>
                  </w:r>
                  <w:r w:rsidRPr="001F5B5C">
                    <w:rPr>
                      <w:rFonts w:ascii="Times New Roman" w:eastAsia="Times New Roman" w:hAnsi="Times New Roman"/>
                      <w:sz w:val="20"/>
                      <w:szCs w:val="20"/>
                    </w:rPr>
                    <w:t>. Here we describe progress in protein expression and purification for SdsA1 and a eukaryotic homolog.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2358546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Synthesis and screening of antimicrobial peptoid combinatorial libraries against the fungi </w:t>
                  </w:r>
                  <w:r w:rsidRPr="001F5B5C">
                    <w:rPr>
                      <w:rFonts w:ascii="Times New Roman" w:eastAsia="Times New Roman" w:hAnsi="Times New Roman"/>
                      <w:i/>
                      <w:iCs/>
                      <w:sz w:val="20"/>
                      <w:szCs w:val="20"/>
                    </w:rPr>
                    <w:t>Aspergillus</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Candida</w:t>
                  </w:r>
                  <w:r w:rsidRPr="001F5B5C">
                    <w:rPr>
                      <w:rFonts w:ascii="Times New Roman" w:eastAsia="Times New Roman" w:hAnsi="Times New Roman"/>
                      <w:sz w:val="20"/>
                      <w:szCs w:val="20"/>
                    </w:rPr>
                    <w:t xml:space="preserve">, and </w:t>
                  </w:r>
                  <w:r w:rsidRPr="001F5B5C">
                    <w:rPr>
                      <w:rFonts w:ascii="Times New Roman" w:eastAsia="Times New Roman" w:hAnsi="Times New Roman"/>
                      <w:i/>
                      <w:iCs/>
                      <w:sz w:val="20"/>
                      <w:szCs w:val="20"/>
                    </w:rPr>
                    <w:t>Cryptococcus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Ashley Corson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ashcorson@gmail.com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Ashley Corson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Kevin Fisher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Kevin Bicker</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Middle Tennessee State University, Murfreesboro, TN, United States. </w:t>
                  </w:r>
                  <w:r w:rsidRPr="001F5B5C">
                    <w:rPr>
                      <w:rFonts w:ascii="Times New Roman" w:eastAsia="Times New Roman" w:hAnsi="Times New Roman"/>
                      <w:sz w:val="20"/>
                      <w:szCs w:val="20"/>
                    </w:rPr>
                    <w:br/>
                    <w:t xml:space="preserve">2. Chemistry, Middle Tennessee State University, Murfreesboro, TN, United States. </w:t>
                  </w:r>
                  <w:r w:rsidRPr="001F5B5C">
                    <w:rPr>
                      <w:rFonts w:ascii="Times New Roman" w:eastAsia="Times New Roman" w:hAnsi="Times New Roman"/>
                      <w:sz w:val="20"/>
                      <w:szCs w:val="20"/>
                    </w:rPr>
                    <w:br/>
                    <w:t xml:space="preserve">3. Department of Chemistry, Middle Tennessee State University, Murfreesboro,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Due to increasing rates of antibiotic resistant fungal infections, alternative treatment options must be explored. One option to combat this growing issue is the use of antimicrobial peptides (AMPs). However, AMPs are severely restricted as a therapeutic choice due to limited half-lives within the human body. To address this issue, peptide mimics called peptoids are employed to identify antimicrobial properties. This research consists of synthesizing a diverse combinatorial library of peptoids and screening this library against different fungi. The combinatorial library’s design will allow for millions of unique compounds to be synthesized and screened for antimicrobial properties in a few days. The methods developed in this project will be an efficient way to determine other therapeutic options in dealing with antibiotic resistant infections, and design compounds that can be used universally with these species.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2359311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Kemp eliminase activity of ketosteroid isomerase: Kinetic behavior of active site mutants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Lauren Fanning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fanninglr@g.cofc.edu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Lauren R. Fanning</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Enis Sanchez</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Marcello Forconi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College of Charleston, Charleston, SC, United States. </w:t>
                  </w:r>
                  <w:r w:rsidRPr="001F5B5C">
                    <w:rPr>
                      <w:rFonts w:ascii="Times New Roman" w:eastAsia="Times New Roman" w:hAnsi="Times New Roman"/>
                      <w:sz w:val="20"/>
                      <w:szCs w:val="20"/>
                    </w:rPr>
                    <w:br/>
                    <w:t xml:space="preserve">2. Biochemistry and Chemistry, College of Charleston, Summerville,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Kemp elimination is a model for base-catalyzed proton transfer reactions. Aprotic solvents greatly accelerate its rate when negatively-charged bases are used, presumably because of desolvation of the base. We found that ketosteroid isomerase from </w:t>
                  </w:r>
                  <w:r w:rsidRPr="001F5B5C">
                    <w:rPr>
                      <w:rFonts w:ascii="Times New Roman" w:eastAsia="Times New Roman" w:hAnsi="Times New Roman"/>
                      <w:i/>
                      <w:iCs/>
                      <w:sz w:val="20"/>
                      <w:szCs w:val="20"/>
                    </w:rPr>
                    <w:t>Comamonas testosteroni</w:t>
                  </w:r>
                  <w:r w:rsidRPr="001F5B5C">
                    <w:rPr>
                      <w:rFonts w:ascii="Times New Roman" w:eastAsia="Times New Roman" w:hAnsi="Times New Roman"/>
                      <w:sz w:val="20"/>
                      <w:szCs w:val="20"/>
                    </w:rPr>
                    <w:t xml:space="preserve"> (tKSI) significantly accelerates the Kemp elimination of 5-nitrobenzisoxazole, with rate constants approaching those obtained by computationally-designed enzymes. Surprisingly, tKSI is even more active when aspartate 38, which is the catalytic base in the normal reaction catalyzed by tKSI, is mutated to asparagine. Herein, we studied the pH-rate dependencies of other variants (D38G, D38L, and D38K) and found that all of these mutants are more active then wild type tKSI, suggesting that the negative charge on residue 38 is detrimental for the reaction. Mutation of a high p</w:t>
                  </w:r>
                  <w:r w:rsidRPr="001F5B5C">
                    <w:rPr>
                      <w:rFonts w:ascii="Times New Roman" w:eastAsia="Times New Roman" w:hAnsi="Times New Roman"/>
                      <w:i/>
                      <w:iCs/>
                      <w:sz w:val="20"/>
                      <w:szCs w:val="20"/>
                    </w:rPr>
                    <w:t>K</w:t>
                  </w:r>
                  <w:r w:rsidRPr="001F5B5C">
                    <w:rPr>
                      <w:rFonts w:ascii="Times New Roman" w:eastAsia="Times New Roman" w:hAnsi="Times New Roman"/>
                      <w:sz w:val="20"/>
                      <w:szCs w:val="20"/>
                      <w:vertAlign w:val="subscript"/>
                    </w:rPr>
                    <w:t>a</w:t>
                  </w:r>
                  <w:r w:rsidRPr="001F5B5C">
                    <w:rPr>
                      <w:rFonts w:ascii="Times New Roman" w:eastAsia="Times New Roman" w:hAnsi="Times New Roman"/>
                      <w:sz w:val="20"/>
                      <w:szCs w:val="20"/>
                    </w:rPr>
                    <w:t xml:space="preserve"> aspartate residue present in the active site of tKSI, D99, brings the reaction rate to the background level, suggesting that D99 is the catalytic base. Bronsted plots of D38 mutants suggest that the active site of KSI is more hydrophobic than water, and similar to those of the computationally-designed Kemp eliminases. In conjunction with data available in the literature, our results suggest that the Kemp elimination can be significantly accelerated by providing a hydrophobic environment with no specific interactions with the substrate.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2359555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resveratrol analog to block Aβ-peptide (1-40) aggregation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Jared Reed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jpreed@cn.edu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Jared P. Reed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Paul A. Martino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Carson-Newman College, Jefferson City, TN, United States. </w:t>
                  </w:r>
                  <w:r w:rsidRPr="001F5B5C">
                    <w:rPr>
                      <w:rFonts w:ascii="Times New Roman" w:eastAsia="Times New Roman" w:hAnsi="Times New Roman"/>
                      <w:sz w:val="20"/>
                      <w:szCs w:val="20"/>
                    </w:rPr>
                    <w:br/>
                    <w:t xml:space="preserve">2. Chemistry, Carson-Newman University, </w:t>
                  </w:r>
                  <w:proofErr w:type="gramStart"/>
                  <w:r w:rsidRPr="001F5B5C">
                    <w:rPr>
                      <w:rFonts w:ascii="Times New Roman" w:eastAsia="Times New Roman" w:hAnsi="Times New Roman"/>
                      <w:sz w:val="20"/>
                      <w:szCs w:val="20"/>
                    </w:rPr>
                    <w:t>Morristown ,</w:t>
                  </w:r>
                  <w:proofErr w:type="gramEnd"/>
                  <w:r w:rsidRPr="001F5B5C">
                    <w:rPr>
                      <w:rFonts w:ascii="Times New Roman" w:eastAsia="Times New Roman" w:hAnsi="Times New Roman"/>
                      <w:sz w:val="20"/>
                      <w:szCs w:val="20"/>
                    </w:rPr>
                    <w:t xml:space="preserv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group of peptides called amyloid-beta peptides form fibrous aggregates in the brain when enzymatically cleaved from amyloid precursor protein. This aggregation is known to be a cause in the procession of Alzheimer’s disease. The inhibition of this aggregation could lead to a possibility treatment for the disease. Currently, the only treatments for Alzheimer’s disease consist of slowing the progression of the disease. It is believed that if the plaques are inhibited from forming, the symptoms will lessen. Current research shows that it is possibly the oligomers, the forms of the peptides before the aggregation, which are the toxic forms of the peptides. Polyphenols, compounds that have two or more hydroxyl groups on an aromatic ring, have been noted to have inhibitory effects toward the aggregation of the Aβ peptides.</w:t>
                  </w:r>
                  <w:r w:rsidRPr="001F5B5C">
                    <w:rPr>
                      <w:rFonts w:ascii="Times New Roman" w:eastAsia="Times New Roman" w:hAnsi="Times New Roman"/>
                      <w:sz w:val="20"/>
                      <w:szCs w:val="20"/>
                    </w:rPr>
                    <w:br/>
                    <w:t xml:space="preserve">This project is aimed to complete the following goals: the synthesis and purification of a polyphenolic chalcone </w:t>
                  </w:r>
                  <w:proofErr w:type="gramStart"/>
                  <w:r w:rsidRPr="001F5B5C">
                    <w:rPr>
                      <w:rFonts w:ascii="Times New Roman" w:eastAsia="Times New Roman" w:hAnsi="Times New Roman"/>
                      <w:sz w:val="20"/>
                      <w:szCs w:val="20"/>
                    </w:rPr>
                    <w:t>( (</w:t>
                  </w:r>
                  <w:proofErr w:type="gramEnd"/>
                  <w:r w:rsidRPr="001F5B5C">
                    <w:rPr>
                      <w:rFonts w:ascii="Times New Roman" w:eastAsia="Times New Roman" w:hAnsi="Times New Roman"/>
                      <w:sz w:val="20"/>
                      <w:szCs w:val="20"/>
                    </w:rPr>
                    <w:t>2</w:t>
                  </w:r>
                  <w:r w:rsidRPr="001F5B5C">
                    <w:rPr>
                      <w:rFonts w:ascii="Times New Roman" w:eastAsia="Times New Roman" w:hAnsi="Times New Roman"/>
                      <w:i/>
                      <w:iCs/>
                      <w:sz w:val="20"/>
                      <w:szCs w:val="20"/>
                    </w:rPr>
                    <w:t>E</w:t>
                  </w:r>
                  <w:r w:rsidRPr="001F5B5C">
                    <w:rPr>
                      <w:rFonts w:ascii="Times New Roman" w:eastAsia="Times New Roman" w:hAnsi="Times New Roman"/>
                      <w:sz w:val="20"/>
                      <w:szCs w:val="20"/>
                    </w:rPr>
                    <w:t xml:space="preserve">)-3-(2,4-dihydroxyphenyl)-1-(4-hydroxyphenyl)prop-2-en-1-one) that is related to the structure of resveratrol. This research is intended to have a positive impact on Alzheimer’s disease treatment progression. The chalcone will be analyzed for its relative ability to inhibit </w:t>
                  </w:r>
                  <w:r w:rsidRPr="001F5B5C">
                    <w:rPr>
                      <w:rFonts w:ascii="Times New Roman" w:eastAsia="Times New Roman" w:hAnsi="Times New Roman"/>
                      <w:i/>
                      <w:iCs/>
                      <w:sz w:val="20"/>
                      <w:szCs w:val="20"/>
                    </w:rPr>
                    <w:t>in-vitro</w:t>
                  </w:r>
                  <w:r w:rsidRPr="001F5B5C">
                    <w:rPr>
                      <w:rFonts w:ascii="Times New Roman" w:eastAsia="Times New Roman" w:hAnsi="Times New Roman"/>
                      <w:sz w:val="20"/>
                      <w:szCs w:val="20"/>
                    </w:rPr>
                    <w:t xml:space="preserve"> Aβ- peptide (1-40) aggregation. The synthetic chalcone polyphenol desired will be synthesized by way of an aldol condensation reaction. Reagents are inexpensive and readily available from several vendors. The advantages to using this reaction is that it is a clean reaction that typically provides highly yielded products and having few contaminants or by-products. One of the advantages of synthesizing chalcones as a compound is that they have many substitution capabilities, and there are many structural variations of hydroxyl group placements that are feasible. Several variations of resveratrol-like synthetic pholyphenolic chalcones will enable us to probe and ultimately determine the optimal hydroxyl placement for inhibition of amyloid-beta aggregation. The final goal of the project is to study the binding kinetics between the synthesized chalcone and the Aβ-peptide (1-40) by using a ThT fluorescence assay.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2359742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Computational Modeling for Understanding the Activation of the Receptor for Advanced Glycation End Products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Darlean Martin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dmartin@muchincollegeprep.org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Darlean Martin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Isis Christopher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Graham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Kofi Amoah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Steven Damo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Life and Physical Sciences, Fisk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receptor for advanced glycation end products (RAGE) is a critical cell surface pattern recognition receptor that is involved in the inflammatory processes of the human body. A diverse array of ligands have been reported to activate RAGE including, advanced glycation end products, amphoterin, amyloid beta peptide, and several members of the S100 class of EF-hand calcium binding proteins. Misregulation of RAGE expression is connected to tumor outgrowths, diabetic complications, and neurodegenerative disorders, which are increasing worldwide concerns. Hence, RAGE is a potential target for the therapeutic intervention. Understanding the molecular mechanisms and interactions that induce the activation of RAGE will allow for the rational design of small molecule inhibitors with the potential to help treat and prevent such inflammatory disease. Here we present a model of the receptor-ligand complex of RAGE and S100A12 determined using a computational docking approach. We also describe a fluorescence binding assay that shows the dissociation constant for the RAGE-S100A12 complex is on the order of micromolar. Comparisons to other structures of RAGE complexes reveal that the high affinity ligand binding surface of RAGE is comprised of a conserved positively charged surface together with a hydrophobic surface.</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5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2359933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PEGYLATION OF BACTERIOFERRITIN, A PROTEIN SCAFFOLD FOR DELIVERY OF TOXIC IRON TO CANCER CELLS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Christopher Kennedy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ckennedy0702@gmail.com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Christopher Kennedy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Emily Boice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Donald M. Kurtz</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The University of Texas at San Antonio, San Antonio, TX, United States. </w:t>
                  </w:r>
                  <w:r w:rsidRPr="001F5B5C">
                    <w:rPr>
                      <w:rFonts w:ascii="Times New Roman" w:eastAsia="Times New Roman" w:hAnsi="Times New Roman"/>
                      <w:sz w:val="20"/>
                      <w:szCs w:val="20"/>
                    </w:rPr>
                    <w:br/>
                    <w:t xml:space="preserve">2. Univ of Texas at San Antonio, San Antonio,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An iron storage protein scaffold (bacterioferritin, Bfr) has been adapted for a novel approach to cancer therapy. Tumor-targeting drugs can be conjugated to the 24 subunits of the protein shell, and photosensitizers (ZnPPIX) can substitute into the native heme binding sites. After binding to cancer cell receptors, photo-excitation would trigger release of ferrous iron to generate a flux of toxic hydroxyl radicals. In order to mask the Bfr from the immune system and make the diameter of the complex larger to aid in retention time, long chains of polyethylene glycol (PEG) can be conjugated to the protein shell on a cysteine substituted in place of an exterior exposed glutamate. In these experiments, the gene encoding the E81C-Bfr was synthesized and inserted into an E.coli expression plasmid. The E81C-Bfr was readily expressed and purified by standard anion exchange and size exclusion chromatography methods. The purity was assessed by 12% SDS-PAGE and then the purified E81C-Bfr was reacted with two types of PEG. First to bind any free surface exposed lysines, a 2kDa PEG using </w:t>
                  </w:r>
                  <w:proofErr w:type="gramStart"/>
                  <w:r w:rsidRPr="001F5B5C">
                    <w:rPr>
                      <w:rFonts w:ascii="Times New Roman" w:eastAsia="Times New Roman" w:hAnsi="Times New Roman"/>
                      <w:sz w:val="20"/>
                      <w:szCs w:val="20"/>
                    </w:rPr>
                    <w:t>a</w:t>
                  </w:r>
                  <w:proofErr w:type="gramEnd"/>
                  <w:r w:rsidRPr="001F5B5C">
                    <w:rPr>
                      <w:rFonts w:ascii="Times New Roman" w:eastAsia="Times New Roman" w:hAnsi="Times New Roman"/>
                      <w:sz w:val="20"/>
                      <w:szCs w:val="20"/>
                    </w:rPr>
                    <w:t xml:space="preserve"> N-hydroxysuccinimide ester linkage was used. Then a 5kDa PEG using a maleimide functional group to attach to the reduced cysteine on the protein shell. These two types were assayed for conjugation by a PEGylation ladder on a 10-20% gradient gel and stained with Coomassie Blue. Additionally the samples were run on an analytical size exclusion column and compared to standards to determine if the protein was still a 24 subunit shell. Further experiments are underway to test whether the attachment of PEG alters the photochemical abilities of Bfr and to characterize the diameter of the PEGylated protein shell.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2360192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A routine ESI-MS method to screen drug effectiveness in inhibition of Amyloid-Beta Peptide aggregation rate.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Madison Herbert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mtherbert@cn.edu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Madison Herbert</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Paul A. Martino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Carson-Newman College, Jefferson City, TN, United States. </w:t>
                  </w:r>
                  <w:r w:rsidRPr="001F5B5C">
                    <w:rPr>
                      <w:rFonts w:ascii="Times New Roman" w:eastAsia="Times New Roman" w:hAnsi="Times New Roman"/>
                      <w:sz w:val="20"/>
                      <w:szCs w:val="20"/>
                    </w:rPr>
                    <w:br/>
                    <w:t xml:space="preserve">2. Carson-Newman University, Jefferson City,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Alzheimer’s disease affects millions of individuals and their families. This disease worsens as Amyloid-Beta peptides form oligomers which ultimately form into amyloid plaques. Potential treatments involve drugs that will reduce the rate at which the oligomers and thus plaques develop. The next problem lies with finding a method that will test the rate of oligomer formation and effectiveness of potential drug candidates. Using a mass spectrometry-based assay will allow the development of a sensitive method to test the fibril formation along with the ability to distinguish between monomers, dimers, trimers, and other oligomers, based on unique mass-to-charge ratios (m/z).</w:t>
                  </w:r>
                  <w:r w:rsidRPr="001F5B5C">
                    <w:rPr>
                      <w:rFonts w:ascii="Times New Roman" w:eastAsia="Times New Roman" w:hAnsi="Times New Roman"/>
                      <w:sz w:val="20"/>
                      <w:szCs w:val="20"/>
                    </w:rPr>
                    <w:br/>
                    <w:t>The aim of our research was to find the optimum conditions for measuring Amyloid-Beta peptide aggregation rates by ESI-MS using a commercially available electrospray quadrupole ion-trap mass spectrometer. Presented will be the determination of proper solvents, flow rates, and peptide concentrations needed to perform these measurements. Dynorphin A (1-13), a small hydrophilic peptide that does not aggregate, was used as an internal standard to improve quantitation of Amyloid-Beta (1-40) peptide aggregation rate. We report the effectiveness of our optimized assay using a known Amyloid-Beta peptide aggregation inhibitor, resveratrol.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2360301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SdsA1: a Bioinformatics and Kinetic Study.</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Noah Denman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noahdenman@gmail.com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Noah Denman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Molecular Biology/Biochemsitry, College of Charleston, Mt. Pleasant,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SdsA1 is a dimeric enzyme proposed to be involved in the degradation of sodium dodecyl sulfate (SDS, a common component of soaps and detergents) by the opportunistic pathogenic bacterium </w:t>
                  </w:r>
                  <w:r w:rsidRPr="001F5B5C">
                    <w:rPr>
                      <w:rFonts w:ascii="Times New Roman" w:eastAsia="Times New Roman" w:hAnsi="Times New Roman"/>
                      <w:i/>
                      <w:iCs/>
                      <w:sz w:val="20"/>
                      <w:szCs w:val="20"/>
                    </w:rPr>
                    <w:t>Pseudomonas aeruginosa</w:t>
                  </w:r>
                  <w:r w:rsidRPr="001F5B5C">
                    <w:rPr>
                      <w:rFonts w:ascii="Times New Roman" w:eastAsia="Times New Roman" w:hAnsi="Times New Roman"/>
                      <w:sz w:val="20"/>
                      <w:szCs w:val="20"/>
                    </w:rPr>
                    <w:t xml:space="preserve">. SdsA1 is indeed capable of hydrolyzing SDS (as well as, other alkyl sulfates), but it is inhibited at moderate levels of SDS, suggesting that the biology function of this enzyme might not be SDS hydrolysis. Furthermore, protein BLAST of this enzyme reveals more than 500 proteins with 35% or more identity to SdsA1, including proteins from eukaryotes, such as the homolog from </w:t>
                  </w:r>
                  <w:r w:rsidRPr="001F5B5C">
                    <w:rPr>
                      <w:rFonts w:ascii="Times New Roman" w:eastAsia="Times New Roman" w:hAnsi="Times New Roman"/>
                      <w:i/>
                      <w:iCs/>
                      <w:sz w:val="20"/>
                      <w:szCs w:val="20"/>
                    </w:rPr>
                    <w:t>Saccharomyces cerevisiae</w:t>
                  </w:r>
                  <w:r w:rsidRPr="001F5B5C">
                    <w:rPr>
                      <w:rFonts w:ascii="Times New Roman" w:eastAsia="Times New Roman" w:hAnsi="Times New Roman"/>
                      <w:sz w:val="20"/>
                      <w:szCs w:val="20"/>
                    </w:rPr>
                    <w:t xml:space="preserve"> Bds1. Bds1 has been implicated in the hydrolysis of alky- and aryl- sulfates, but it is highly unlikely that this organism would have evolved or acquired this protein under selective pressure to hydrolyze detergents. Furthermore, network modelling suggests a very close relationship between the two proteins, once again implying that SDS hydrolysis might not be the biological function of SdsA1. Thus, it is possible that these proteins perform some as yet unknown function or that the scaffold of SdsA1 can rapidly adapt to evolve new functions. We are currently investigating substrate preference of SdsA1, and we are expressing Bds1 to compare the substrate specificities of these two very closely related enzymes.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2360691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Role of Gag Domains in Bovine Leukemia Virus RNA Packaging</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Heidi King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Heidi.King@vikings.berry.edu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Heidi King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Dominic F. Qualley</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Berry College, Rome, GA, United States. </w:t>
                  </w:r>
                  <w:r w:rsidRPr="001F5B5C">
                    <w:rPr>
                      <w:rFonts w:ascii="Times New Roman" w:eastAsia="Times New Roman" w:hAnsi="Times New Roman"/>
                      <w:sz w:val="20"/>
                      <w:szCs w:val="20"/>
                    </w:rPr>
                    <w:br/>
                    <w:t xml:space="preserve">2. One Health Center, Berry College, Mt. Berry,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Gag polyprotein is involved in the formation of virus particles during retroviral replication. Retroviral Gag consists of three major domains: matrix (MA), capsid, (CA), and nucleocapsid (NC). In lentiviruses such as human immunodeficiency virus type 1 (HIV-1), MA attaches to the inner leaflet of the cell membrane while NC remains bound to the viral genomic RNA. In deltaretroviruses such as bovine leukemia virus (BLV), the process of assembly at the membrane is not clear. </w:t>
                  </w:r>
                  <w:r w:rsidRPr="001F5B5C">
                    <w:rPr>
                      <w:rFonts w:ascii="Times New Roman" w:eastAsia="Times New Roman" w:hAnsi="Times New Roman"/>
                      <w:i/>
                      <w:iCs/>
                      <w:sz w:val="20"/>
                      <w:szCs w:val="20"/>
                    </w:rPr>
                    <w:t>In vitro</w:t>
                  </w:r>
                  <w:r w:rsidRPr="001F5B5C">
                    <w:rPr>
                      <w:rFonts w:ascii="Times New Roman" w:eastAsia="Times New Roman" w:hAnsi="Times New Roman"/>
                      <w:sz w:val="20"/>
                      <w:szCs w:val="20"/>
                    </w:rPr>
                    <w:t xml:space="preserve"> binding experiments have shown that MA binds to RNA as strongly as NC, suggesting a more important role for MA in genome packaging. In this study, nucleic acid binding and virus-like particle (VLP) </w:t>
                  </w:r>
                  <w:proofErr w:type="gramStart"/>
                  <w:r w:rsidRPr="001F5B5C">
                    <w:rPr>
                      <w:rFonts w:ascii="Times New Roman" w:eastAsia="Times New Roman" w:hAnsi="Times New Roman"/>
                      <w:sz w:val="20"/>
                      <w:szCs w:val="20"/>
                    </w:rPr>
                    <w:t>assembly are</w:t>
                  </w:r>
                  <w:proofErr w:type="gramEnd"/>
                  <w:r w:rsidRPr="001F5B5C">
                    <w:rPr>
                      <w:rFonts w:ascii="Times New Roman" w:eastAsia="Times New Roman" w:hAnsi="Times New Roman"/>
                      <w:sz w:val="20"/>
                      <w:szCs w:val="20"/>
                    </w:rPr>
                    <w:t xml:space="preserve"> studied </w:t>
                  </w:r>
                  <w:r w:rsidRPr="001F5B5C">
                    <w:rPr>
                      <w:rFonts w:ascii="Times New Roman" w:eastAsia="Times New Roman" w:hAnsi="Times New Roman"/>
                      <w:i/>
                      <w:iCs/>
                      <w:sz w:val="20"/>
                      <w:szCs w:val="20"/>
                    </w:rPr>
                    <w:t>in vitro</w:t>
                  </w:r>
                  <w:r w:rsidRPr="001F5B5C">
                    <w:rPr>
                      <w:rFonts w:ascii="Times New Roman" w:eastAsia="Times New Roman" w:hAnsi="Times New Roman"/>
                      <w:sz w:val="20"/>
                      <w:szCs w:val="20"/>
                    </w:rPr>
                    <w:t xml:space="preserve"> under different conditions in order to clarify the contributions made by each domain to the assembly process. We observed that the presence of purified Gag and nucleic acid was sufficient for VLP formation. As shown previously for HIV-1, the presence of ribonuclease or high salt concentrations result in VLP disassembly; this is inhibited by inositol hexakisphosphate (IP6), a membrane phospholipid analogue. Results from binding studies performed with domain-deletion mutants and mutants that have been shown to </w:t>
                  </w:r>
                  <w:proofErr w:type="gramStart"/>
                  <w:r w:rsidRPr="001F5B5C">
                    <w:rPr>
                      <w:rFonts w:ascii="Times New Roman" w:eastAsia="Times New Roman" w:hAnsi="Times New Roman"/>
                      <w:sz w:val="20"/>
                      <w:szCs w:val="20"/>
                    </w:rPr>
                    <w:t>poorly</w:t>
                  </w:r>
                  <w:proofErr w:type="gramEnd"/>
                  <w:r w:rsidRPr="001F5B5C">
                    <w:rPr>
                      <w:rFonts w:ascii="Times New Roman" w:eastAsia="Times New Roman" w:hAnsi="Times New Roman"/>
                      <w:sz w:val="20"/>
                      <w:szCs w:val="20"/>
                    </w:rPr>
                    <w:t xml:space="preserve"> package RNA are also discussed.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2360698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Purification and RNA-Binding Properties of the West Nile Virus Core Protein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Katelyn Hambrick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Katie.Hambrick@vikings.berry.edu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Katelyn Hambrick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Dominic F. Qualley</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Berry College, Rome, GA, United States. </w:t>
                  </w:r>
                  <w:r w:rsidRPr="001F5B5C">
                    <w:rPr>
                      <w:rFonts w:ascii="Times New Roman" w:eastAsia="Times New Roman" w:hAnsi="Times New Roman"/>
                      <w:sz w:val="20"/>
                      <w:szCs w:val="20"/>
                    </w:rPr>
                    <w:br/>
                    <w:t xml:space="preserve">2. One Health Center, Berry College, Mt. Berry,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West Nile virus (WNV) is an arthropod-borne pathogen that is capable of causing fatal illness in humans. Like most viruses, its genomic RNA is enclosed in a protein coat that provides protection from nucleases. In WNV, many copies of the core protein (C) interact with the RNA genome to form the viral capsid. WNV-C also interacts with the lipid bilayer of the virus, which is formed from the ER membrane of the host cell. Two RNA-binding domains have been identified in WNV-C, but many questions remain unanswered with regards to the specific interactions between protein and RNA. To better understand the WNV assembly process, WNV-C was cloned and expressed in </w:t>
                  </w:r>
                  <w:r w:rsidRPr="001F5B5C">
                    <w:rPr>
                      <w:rFonts w:ascii="Times New Roman" w:eastAsia="Times New Roman" w:hAnsi="Times New Roman"/>
                      <w:i/>
                      <w:iCs/>
                      <w:sz w:val="20"/>
                      <w:szCs w:val="20"/>
                    </w:rPr>
                    <w:t>E. coli</w:t>
                  </w:r>
                  <w:r w:rsidRPr="001F5B5C">
                    <w:rPr>
                      <w:rFonts w:ascii="Times New Roman" w:eastAsia="Times New Roman" w:hAnsi="Times New Roman"/>
                      <w:sz w:val="20"/>
                      <w:szCs w:val="20"/>
                    </w:rPr>
                    <w:t xml:space="preserve"> cell culture. This was accomplished by single-step reverse transcriptase polymerase chain reaction using WNV genomic RNA as a template. The resulting double-stranded DNA was inserted into an expression vector using directional cloning, and the protein was successfully over-expressed and purified in good yield. WNV-C was used in binding experiments with both non-specific and specific targets to elucidate the influence of electrostatic interactions on capsid assembly. A salt-titration binding assay was also performed to further study the binding of WNV-C to its RNA target. Finally, a key mutation to WNV-C was made to render the protein monomeric in order to determine the impact of dimerization upon its function. The data from these experiments collectively shed new light on WNV-C’s role in viral replication.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2360761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Integrin subunits α3 and α6 mediate FGF10-dependent signaling events in collecting duct cells bound to LM511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Sophia Toe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Sophia_Toe@berea.edu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Sophia Toe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Berea College, Berea, KY,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br/>
                    <w:t>The collecting system of the kidney develops from the ureteric bud (UB), which undergoes branching morphogenesis, a process regulated by multiple factors, including cell–extracellular matrix (ECM) interactions. Integrins are the principal cell receptors for ECM and the laminin (LM)-binding integrins (Itg) α3β1, α6β1 and α6β4 are most important integrin's in this process. In addition growth factors, like fibroblast growth factors (FGFs) are involved in cell signaling pathways in this developmental process. The role of laminin-binding integrins, α3β1, α6β1 and α6β4, in FGF10-dependent signaling events that regulate renal branching morphogenesis has not been investigated. In this study, we used collecting duct cells (CD) which lack specific integrin subunits to identify these interactions. Itgα3</w:t>
                  </w:r>
                  <w:r w:rsidRPr="001F5B5C">
                    <w:rPr>
                      <w:rFonts w:ascii="Times New Roman" w:eastAsia="Times New Roman" w:hAnsi="Times New Roman"/>
                      <w:sz w:val="20"/>
                      <w:szCs w:val="20"/>
                      <w:vertAlign w:val="superscript"/>
                    </w:rPr>
                    <w:t>f/f</w:t>
                  </w:r>
                  <w:r w:rsidRPr="001F5B5C">
                    <w:rPr>
                      <w:rFonts w:ascii="Times New Roman" w:eastAsia="Times New Roman" w:hAnsi="Times New Roman"/>
                      <w:sz w:val="20"/>
                      <w:szCs w:val="20"/>
                    </w:rPr>
                    <w:t>α6</w:t>
                  </w:r>
                  <w:r w:rsidRPr="001F5B5C">
                    <w:rPr>
                      <w:rFonts w:ascii="Times New Roman" w:eastAsia="Times New Roman" w:hAnsi="Times New Roman"/>
                      <w:sz w:val="20"/>
                      <w:szCs w:val="20"/>
                      <w:vertAlign w:val="superscript"/>
                    </w:rPr>
                    <w:t>f/f</w:t>
                  </w:r>
                  <w:r w:rsidRPr="001F5B5C">
                    <w:rPr>
                      <w:rFonts w:ascii="Times New Roman" w:eastAsia="Times New Roman" w:hAnsi="Times New Roman"/>
                      <w:sz w:val="20"/>
                      <w:szCs w:val="20"/>
                    </w:rPr>
                    <w:t xml:space="preserve"> and Itgα3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α6</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CD cells were plated on LM-511, treated with FGF10 and after which they were assessed for spreading. In addition, CD cell lysates were immunoblotted to deteremine Akt activation. Itgα3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α6</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CD cells showed reduced spreading and Akt activity. Akt activity was also reduced in Itgα3</w:t>
                  </w:r>
                  <w:r w:rsidRPr="001F5B5C">
                    <w:rPr>
                      <w:rFonts w:ascii="Times New Roman" w:eastAsia="Times New Roman" w:hAnsi="Times New Roman"/>
                      <w:sz w:val="20"/>
                      <w:szCs w:val="20"/>
                      <w:vertAlign w:val="superscript"/>
                    </w:rPr>
                    <w:t>f/f</w:t>
                  </w:r>
                  <w:r w:rsidRPr="001F5B5C">
                    <w:rPr>
                      <w:rFonts w:ascii="Times New Roman" w:eastAsia="Times New Roman" w:hAnsi="Times New Roman"/>
                      <w:sz w:val="20"/>
                      <w:szCs w:val="20"/>
                    </w:rPr>
                    <w:t>α6</w:t>
                  </w:r>
                  <w:r w:rsidRPr="001F5B5C">
                    <w:rPr>
                      <w:rFonts w:ascii="Times New Roman" w:eastAsia="Times New Roman" w:hAnsi="Times New Roman"/>
                      <w:sz w:val="20"/>
                      <w:szCs w:val="20"/>
                      <w:vertAlign w:val="superscript"/>
                    </w:rPr>
                    <w:t xml:space="preserve">f/f </w:t>
                  </w:r>
                  <w:r w:rsidRPr="001F5B5C">
                    <w:rPr>
                      <w:rFonts w:ascii="Times New Roman" w:eastAsia="Times New Roman" w:hAnsi="Times New Roman"/>
                      <w:sz w:val="20"/>
                      <w:szCs w:val="20"/>
                    </w:rPr>
                    <w:t>CD cells treated with Akt Inhibitor IV. These data suggest that that integrin α3β1 and α6 containing integrins interactions with LMs regulate FGF10-dependent activation of Akt signaling which mediates CD cell spreading .Thus, the interaction of FGF10 with LM binding integrins α3β1, α6β1 and α6β4 may play a role in UB branching morphogenesis.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2360891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BIOCONVERSION OF CURCUMIN AND ITS ANALOG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Glenroy Martin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gmartin@fisk.edu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Glenroy D. Martin</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Life and Physical Sciences, Fisk University, Nashville, TN, United States. </w:t>
                  </w:r>
                  <w:r w:rsidRPr="001F5B5C">
                    <w:rPr>
                      <w:rFonts w:ascii="Times New Roman" w:eastAsia="Times New Roman" w:hAnsi="Times New Roman"/>
                      <w:sz w:val="20"/>
                      <w:szCs w:val="20"/>
                    </w:rPr>
                    <w:br/>
                    <w:t xml:space="preserve">2. Chemistry, Vanderbilt,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Reduction of curcumin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a chemopreventive agent from Turmeric (</w:t>
                  </w:r>
                  <w:r w:rsidRPr="001F5B5C">
                    <w:rPr>
                      <w:rFonts w:ascii="Times New Roman" w:eastAsia="Times New Roman" w:hAnsi="Times New Roman"/>
                      <w:i/>
                      <w:iCs/>
                      <w:sz w:val="20"/>
                      <w:szCs w:val="20"/>
                    </w:rPr>
                    <w:t>Curcuma longa</w:t>
                  </w:r>
                  <w:r w:rsidRPr="001F5B5C">
                    <w:rPr>
                      <w:rFonts w:ascii="Times New Roman" w:eastAsia="Times New Roman" w:hAnsi="Times New Roman"/>
                      <w:sz w:val="20"/>
                      <w:szCs w:val="20"/>
                    </w:rPr>
                    <w:t xml:space="preserve"> L.), </w:t>
                  </w:r>
                  <w:proofErr w:type="gramStart"/>
                  <w:r w:rsidRPr="001F5B5C">
                    <w:rPr>
                      <w:rFonts w:ascii="Times New Roman" w:eastAsia="Times New Roman" w:hAnsi="Times New Roman"/>
                      <w:sz w:val="20"/>
                      <w:szCs w:val="20"/>
                    </w:rPr>
                    <w:t>yielded</w:t>
                  </w:r>
                  <w:proofErr w:type="gramEnd"/>
                  <w:r w:rsidRPr="001F5B5C">
                    <w:rPr>
                      <w:rFonts w:ascii="Times New Roman" w:eastAsia="Times New Roman" w:hAnsi="Times New Roman"/>
                      <w:sz w:val="20"/>
                      <w:szCs w:val="20"/>
                    </w:rPr>
                    <w:t xml:space="preserve"> five products. The three major compounds were identified as 1,7-bis(4-hydroxy-3-methoxyphenyl)heptane-3,5-dione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5-hydroxy-1,7-bis(4-hydroxy-3-methoxyphenyl)heptan-3-one (</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and 1,7-bis(4-hydroxy-3-methoxyphenyl)heptane-3,5-diol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Incubation of compound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xml:space="preserve">) with </w:t>
                  </w:r>
                  <w:r w:rsidRPr="001F5B5C">
                    <w:rPr>
                      <w:rFonts w:ascii="Times New Roman" w:eastAsia="Times New Roman" w:hAnsi="Times New Roman"/>
                      <w:i/>
                      <w:iCs/>
                      <w:sz w:val="20"/>
                      <w:szCs w:val="20"/>
                    </w:rPr>
                    <w:t>Beauveria</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bassiana</w:t>
                  </w:r>
                  <w:r w:rsidRPr="001F5B5C">
                    <w:rPr>
                      <w:rFonts w:ascii="Times New Roman" w:eastAsia="Times New Roman" w:hAnsi="Times New Roman"/>
                      <w:sz w:val="20"/>
                      <w:szCs w:val="20"/>
                    </w:rPr>
                    <w:t xml:space="preserve"> ATCC 7159 afforded the compound (</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as the sole metabolite. Bioconversion of curcumin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with </w:t>
                  </w:r>
                  <w:r w:rsidRPr="001F5B5C">
                    <w:rPr>
                      <w:rFonts w:ascii="Times New Roman" w:eastAsia="Times New Roman" w:hAnsi="Times New Roman"/>
                      <w:i/>
                      <w:iCs/>
                      <w:sz w:val="20"/>
                      <w:szCs w:val="20"/>
                    </w:rPr>
                    <w:t>Rhizopus oryzae</w:t>
                  </w:r>
                  <w:r w:rsidRPr="001F5B5C">
                    <w:rPr>
                      <w:rFonts w:ascii="Times New Roman" w:eastAsia="Times New Roman" w:hAnsi="Times New Roman"/>
                      <w:sz w:val="20"/>
                      <w:szCs w:val="20"/>
                    </w:rPr>
                    <w:t xml:space="preserve"> ATCC 11145 yielded 1</w:t>
                  </w:r>
                  <w:proofErr w:type="gramStart"/>
                  <w:r w:rsidRPr="001F5B5C">
                    <w:rPr>
                      <w:rFonts w:ascii="Times New Roman" w:eastAsia="Times New Roman" w:hAnsi="Times New Roman"/>
                      <w:sz w:val="20"/>
                      <w:szCs w:val="20"/>
                    </w:rPr>
                    <w:t>,7</w:t>
                  </w:r>
                  <w:proofErr w:type="gramEnd"/>
                  <w:r w:rsidRPr="001F5B5C">
                    <w:rPr>
                      <w:rFonts w:ascii="Times New Roman" w:eastAsia="Times New Roman" w:hAnsi="Times New Roman"/>
                      <w:sz w:val="20"/>
                      <w:szCs w:val="20"/>
                    </w:rPr>
                    <w:t>-bis(4-hydroxy-3-methoxyphenyl)hept-1-en-3,5-dione (</w:t>
                  </w:r>
                  <w:r w:rsidRPr="001F5B5C">
                    <w:rPr>
                      <w:rFonts w:ascii="Times New Roman" w:eastAsia="Times New Roman" w:hAnsi="Times New Roman"/>
                      <w:b/>
                      <w:bCs/>
                      <w:sz w:val="20"/>
                      <w:szCs w:val="20"/>
                    </w:rPr>
                    <w:t>5</w:t>
                  </w:r>
                  <w:r w:rsidRPr="001F5B5C">
                    <w:rPr>
                      <w:rFonts w:ascii="Times New Roman" w:eastAsia="Times New Roman" w:hAnsi="Times New Roman"/>
                      <w:sz w:val="20"/>
                      <w:szCs w:val="20"/>
                    </w:rPr>
                    <w:t xml:space="preserve">) and metabolites </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xml:space="preserve"> and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xml:space="preserve">. Metabolite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xml:space="preserve"> was not produced. No transformation of curcumin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was observed with </w:t>
                  </w:r>
                  <w:r w:rsidRPr="001F5B5C">
                    <w:rPr>
                      <w:rFonts w:ascii="Times New Roman" w:eastAsia="Times New Roman" w:hAnsi="Times New Roman"/>
                      <w:i/>
                      <w:iCs/>
                      <w:sz w:val="20"/>
                      <w:szCs w:val="20"/>
                    </w:rPr>
                    <w:t>Aspergillus niger</w:t>
                  </w:r>
                  <w:r w:rsidRPr="001F5B5C">
                    <w:rPr>
                      <w:rFonts w:ascii="Times New Roman" w:eastAsia="Times New Roman" w:hAnsi="Times New Roman"/>
                      <w:sz w:val="20"/>
                      <w:szCs w:val="20"/>
                    </w:rPr>
                    <w:t xml:space="preserve"> ATCC 16888. The bioactivities and structural elucidation of these metabolites are reported herein.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2361041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Molecular Inhibition of Oligomer formation and Aβ Peptide (1-40) Aggregation in Alzheimer's Disease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 Higgins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dwhiggins@cn.edu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Daniel W. Higgins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Paul A. Martino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Carson-Newman College, Jefferson City, TN, United States. </w:t>
                  </w:r>
                  <w:r w:rsidRPr="001F5B5C">
                    <w:rPr>
                      <w:rFonts w:ascii="Times New Roman" w:eastAsia="Times New Roman" w:hAnsi="Times New Roman"/>
                      <w:sz w:val="20"/>
                      <w:szCs w:val="20"/>
                    </w:rPr>
                    <w:br/>
                    <w:t xml:space="preserve">2. Carson-Newman University, Hixson,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One of the characteristics of Alzheimer’s development is the amyloidogenesis. This is the process by which amyloid-beta peptides (Aβ-peptides) form oligomers which turn into toxic fibrils and plaques in the brain. These fibrils and plaques are what aggregate in the nervous tissue and result in the deterioration of neural function. The two specific peptides found to be most involved in the aggregation process are Aβ-40 and Aβ-42. Along with these peptides, metal ions such as copper (II) and zinc have been found to have a connection with the appearance of these toxic aggregates in the brain. With this in mind, much of the research today has focused on inhibiting this aggregation in the hopes of slowing progression of the disease. It has been found that molecules with polyphenol rings, such as those found in stilbenoids and chalcones, are effective in aggregation inhibition.</w:t>
                  </w:r>
                  <w:r w:rsidRPr="001F5B5C">
                    <w:rPr>
                      <w:rFonts w:ascii="Times New Roman" w:eastAsia="Times New Roman" w:hAnsi="Times New Roman"/>
                      <w:sz w:val="20"/>
                      <w:szCs w:val="20"/>
                    </w:rPr>
                    <w:br/>
                    <w:t>An aldol synthesis will be used to condense the reactants 8-hydroxyquinoline-2-carboxaldehyde with 3</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-dihydroxyacetophenone in an attempt to produce (2E)-3-(3,5-dihydroxyphenyl)-1-(8-hydroxyquinolin-2-yl)prop-2-en-1-one. Structure of the synthesized molecule will be confirmed through IR, HNMR, and TLC; melting point and percent yield will also be recorded. The product will be purified with preparative TLC and tested for amyloidogenic inhibition via Thioflavin-T spectroscopic assay.</w:t>
                  </w:r>
                  <w:r w:rsidRPr="001F5B5C">
                    <w:rPr>
                      <w:rFonts w:ascii="Times New Roman" w:eastAsia="Times New Roman" w:hAnsi="Times New Roman"/>
                      <w:sz w:val="20"/>
                      <w:szCs w:val="20"/>
                    </w:rPr>
                    <w:br/>
                    <w:t>The aim of this project is two-fold. The product being synthesized will be developed with the aim of inhibiting aggregation of Aβ fibrils and plaques in the brain, and also with the aim of preventing oligomer formation to begin with by tampering with the metal ions present. The product should interact with fibrils and plaques due to its phenolic ring structure to decrease Aβ aggregation while the placement of the 8-hydroxyquinoline group will allow the molecule to act as a ligand and disrupt the function of any zinc or copper (II) ions present.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2361375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Cellular Uptake of Polyphenols in a Bacterial Protein Expression System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Brittany Griffin | Emily Fairchild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griffin_brittany4@columbusstate.edu | fairchild_emily@columbusstate.edu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Brittany K. Griffin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Emily Fairchild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Jonathan Meyers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Columbus State University, Columbus, GA, United States. </w:t>
                  </w:r>
                  <w:r w:rsidRPr="001F5B5C">
                    <w:rPr>
                      <w:rFonts w:ascii="Times New Roman" w:eastAsia="Times New Roman" w:hAnsi="Times New Roman"/>
                      <w:sz w:val="20"/>
                      <w:szCs w:val="20"/>
                    </w:rPr>
                    <w:br/>
                    <w:t xml:space="preserve">2. Chemistry, Columbus State University, Columbus,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biosynthesis of single chain insulin (SCI) analogs is prohibitively inefficient due to their propensity to form non-specific aggregates and ordered fibrils. It is well recognized that certain polyphenol compounds are inhibitors of fibril formation </w:t>
                  </w:r>
                  <w:r w:rsidRPr="001F5B5C">
                    <w:rPr>
                      <w:rFonts w:ascii="Times New Roman" w:eastAsia="Times New Roman" w:hAnsi="Times New Roman"/>
                      <w:i/>
                      <w:iCs/>
                      <w:sz w:val="20"/>
                      <w:szCs w:val="20"/>
                    </w:rPr>
                    <w:t>in vitro</w:t>
                  </w:r>
                  <w:r w:rsidRPr="001F5B5C">
                    <w:rPr>
                      <w:rFonts w:ascii="Times New Roman" w:eastAsia="Times New Roman" w:hAnsi="Times New Roman"/>
                      <w:sz w:val="20"/>
                      <w:szCs w:val="20"/>
                    </w:rPr>
                    <w:t xml:space="preserve"> and in eukaryotic cells. However, there has been no systematic exploration of their effect in bacterial expression systems. We propose to quantify the cellular uptake of polyphenol compounds in bacteria to determine if intracellular concentrations equivalent to published IC</w:t>
                  </w:r>
                  <w:r w:rsidRPr="001F5B5C">
                    <w:rPr>
                      <w:rFonts w:ascii="Times New Roman" w:eastAsia="Times New Roman" w:hAnsi="Times New Roman"/>
                      <w:sz w:val="20"/>
                      <w:szCs w:val="20"/>
                      <w:vertAlign w:val="subscript"/>
                    </w:rPr>
                    <w:t>50</w:t>
                  </w:r>
                  <w:r w:rsidRPr="001F5B5C">
                    <w:rPr>
                      <w:rFonts w:ascii="Times New Roman" w:eastAsia="Times New Roman" w:hAnsi="Times New Roman"/>
                      <w:sz w:val="20"/>
                      <w:szCs w:val="20"/>
                    </w:rPr>
                    <w:t xml:space="preserve"> values can be attained. The baseline absorbance spectrums of two polyphenols, phenol red and congo red, in Luria Broth was established and were found to be stable for over at by absorbance spectroscopy. </w:t>
                  </w:r>
                  <w:proofErr w:type="gramStart"/>
                  <w:r w:rsidRPr="001F5B5C">
                    <w:rPr>
                      <w:rFonts w:ascii="Times New Roman" w:eastAsia="Times New Roman" w:hAnsi="Times New Roman"/>
                      <w:sz w:val="20"/>
                      <w:szCs w:val="20"/>
                    </w:rPr>
                    <w:t>BL21(</w:t>
                  </w:r>
                  <w:proofErr w:type="gramEnd"/>
                  <w:r w:rsidRPr="001F5B5C">
                    <w:rPr>
                      <w:rFonts w:ascii="Times New Roman" w:eastAsia="Times New Roman" w:hAnsi="Times New Roman"/>
                      <w:sz w:val="20"/>
                      <w:szCs w:val="20"/>
                    </w:rPr>
                    <w:t xml:space="preserve">DE3) </w:t>
                  </w:r>
                  <w:r w:rsidRPr="001F5B5C">
                    <w:rPr>
                      <w:rFonts w:ascii="Times New Roman" w:eastAsia="Times New Roman" w:hAnsi="Times New Roman"/>
                      <w:i/>
                      <w:iCs/>
                      <w:sz w:val="20"/>
                      <w:szCs w:val="20"/>
                    </w:rPr>
                    <w:t>E. coli</w:t>
                  </w:r>
                  <w:r w:rsidRPr="001F5B5C">
                    <w:rPr>
                      <w:rFonts w:ascii="Times New Roman" w:eastAsia="Times New Roman" w:hAnsi="Times New Roman"/>
                      <w:sz w:val="20"/>
                      <w:szCs w:val="20"/>
                    </w:rPr>
                    <w:t xml:space="preserve"> cultures were incubated in LB media spiked with polyphenol and dye concentration was monitored by UV-Vis spectroscopy. A time dependent reduction in extracellular dye concentration was observed, and polyphenol effects on protein expression levels are being determined.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2361446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fight against Alzheimer's disease: Combatting Aβ aggregates synthesized on latex beads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Sarah Woidill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swoidill@elon.edu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Sarah Woidill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Kathryn M. Matera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Elon University, Elon,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Alzheimer’s disease (AD) is a neurodegenerative disease that causes dementia, memory loss, and cognitive dysfunction and does not yet have a cure. </w:t>
                  </w:r>
                  <w:proofErr w:type="gramStart"/>
                  <w:r w:rsidRPr="001F5B5C">
                    <w:rPr>
                      <w:rFonts w:ascii="Times New Roman" w:eastAsia="Times New Roman" w:hAnsi="Times New Roman"/>
                      <w:sz w:val="20"/>
                      <w:szCs w:val="20"/>
                    </w:rPr>
                    <w:t>Aggregation of amyloid beta (Aβ) peptides have</w:t>
                  </w:r>
                  <w:proofErr w:type="gramEnd"/>
                  <w:r w:rsidRPr="001F5B5C">
                    <w:rPr>
                      <w:rFonts w:ascii="Times New Roman" w:eastAsia="Times New Roman" w:hAnsi="Times New Roman"/>
                      <w:sz w:val="20"/>
                      <w:szCs w:val="20"/>
                    </w:rPr>
                    <w:t xml:space="preserve"> been found to play a central role in the development of Alzheimer’s disease, and often AD is diagnosed by the presence of insoluble Aβ fibril plaques in the brain. While the fibril plaques of Aβ are indicators of AD, soluble oligomers of Aβ have been shown to cause the serious cognitive dysfunction. This research uses a novel method to aggregate Aβ peptides covalently on aliphatic amine latex beads and in solution to assess the effects of small phenolic compounds, which are potential AD drug candidates, in the aggregation and disaggregation of Aβ oligomers. Three different methods were used to assess the disaggregation of the peptide oligomers after adding each phenolic compound: UV-Vis spectroscopy, ELISA, and a thioflavin T fluorescence assay. Overall, the UV-Vis, ELISA, and thioflavin T assay results demonstrate that phenolic compounds interfere with the aggregation and facilitate the disaggregation process of Aβ. Gallic acid appeared to be the most effective of the phenolic compounds tested. The findings will lead to further understanding of how these phenolic compounds interact with Aβ aggregates and thus can provide information to find more effective treatment options for Alzheimer’s disease.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6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2361847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Introduction of fluoroaromatics in proteins via S</w:t>
                  </w:r>
                  <w:r w:rsidRPr="001F5B5C">
                    <w:rPr>
                      <w:rFonts w:ascii="Times New Roman" w:eastAsia="Times New Roman" w:hAnsi="Times New Roman"/>
                      <w:sz w:val="20"/>
                      <w:szCs w:val="20"/>
                      <w:vertAlign w:val="subscript"/>
                    </w:rPr>
                    <w:t>N</w:t>
                  </w:r>
                  <w:r w:rsidRPr="001F5B5C">
                    <w:rPr>
                      <w:rFonts w:ascii="Times New Roman" w:eastAsia="Times New Roman" w:hAnsi="Times New Roman"/>
                      <w:sz w:val="20"/>
                      <w:szCs w:val="20"/>
                    </w:rPr>
                    <w:t>Ar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Jonathan Derryberry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derryberryjp@g.cofc.edu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Jonathan Derryberry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F. Mansure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Brenna Norton-Baker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Marcello Forconi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electronic environment within proteins is highly idiosyncratic. IR and NMR are useful tools to garner information about local properties. By taking advantage of the nucleophilicity of cysteine, we introduced fluorine atoms and nitrile groups as probes using nucleophilic aromatic substitution (SNAr). We found that the N- and O-protected cysteine reacts with a variety of fluoroaromatics, including 3</w:t>
                  </w:r>
                  <w:proofErr w:type="gramStart"/>
                  <w:r w:rsidRPr="001F5B5C">
                    <w:rPr>
                      <w:rFonts w:ascii="Times New Roman" w:eastAsia="Times New Roman" w:hAnsi="Times New Roman"/>
                      <w:sz w:val="20"/>
                      <w:szCs w:val="20"/>
                    </w:rPr>
                    <w:t>,4,5</w:t>
                  </w:r>
                  <w:proofErr w:type="gramEnd"/>
                  <w:r w:rsidRPr="001F5B5C">
                    <w:rPr>
                      <w:rFonts w:ascii="Times New Roman" w:eastAsia="Times New Roman" w:hAnsi="Times New Roman"/>
                      <w:sz w:val="20"/>
                      <w:szCs w:val="20"/>
                    </w:rPr>
                    <w:t>-trifluorobenzonitrile (TFBN). FT-IR analyses showed that the nitrile stretching frequency of the cysteine-fluorobenzonitrile is dependent on the solvent electronic properties. We have used this reaction to modify a small peptide, glutathione, as well as proteins including BSA, bovine hemoglobin, and porcine hemoglobin. Analysis of the TFBN-treated proteins through Ellman’s procedure and mass spectrometry strongly suggests that solvent-exposed cysteine residues of these proteins were modified by TFBN.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2363126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Competition binding in a model biomolecular complex: Effects of palmitic acid on association of ibuprofen to human serum albumin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Jin Cho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qvm171@mocs.utc.edu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Jin Y. Cho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Kristin B. Whitson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Stefanie R. Whitson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Physics, University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Human serum albumin is an abundant plasma protein that transports pharmaceutical drugs and native biomolecules. Previous crystallographic studies showed overlapping binding sites for ibuprofen and palmitic acid at drug site I; however, the competitive effects of fatty acids on the drug-binding ability of albumin were not well described. Saturation binding assays that exploited intrinsic tryptophan fluorescence near DSI yielded equilibrium dissociation constants in the micromolar range for both ligands to albumin binding sites. These experiments indicated albumin has a stronger affinity for ibuprofen than palmitic acid and that positive cooperativity plays a large role in the mode of binding, particularly for palmitic acid. However, surprisingly, competition binding experiments showed that when albumin was pre-blocked with palmitic acid, ibuprofen could not displace it. The converse experiment revealed a new affinity state not previously detected. This study reveals that multiple modes of binding are necessary for albumin to accomplish ibuprofen transport.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2363702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Effects of Dextran on the Stabilization of i-Motif DNA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Kadijah Abston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kdabston@go.olemiss.edu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Kadijah D. Abston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Randy M. Wadkins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The University of Mississippi, Oxford, MS, United States. </w:t>
                  </w:r>
                  <w:r w:rsidRPr="001F5B5C">
                    <w:rPr>
                      <w:rFonts w:ascii="Times New Roman" w:eastAsia="Times New Roman" w:hAnsi="Times New Roman"/>
                      <w:sz w:val="20"/>
                      <w:szCs w:val="20"/>
                    </w:rPr>
                    <w:br/>
                    <w:t xml:space="preserve">2. Dept. Chemistry Biochemistry, University of Mississippi, University,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Cells are tightly compacted units consisting of intracellular fluids, DNA, RNA, and proteins that regulate the processes of life. The DNA promoter regions of several proto-oncogenes contain sequences that enable the formation of unusual structures known as i-Motifs, which are four stranded DNA structures stabilized by cytosine-cytosine hydrogen bonding. These DNA structures have the potential to be used for drug targeting that could regulate gene expression. This in turn might form the basis of innovative cancer therapeutics. Recent studies show that high molecular weight polymers such as polyethylene glycol (PEG) that are used to mimic molecular crowding within cells increases the stability of i-Motif DNA structures under physiologically relevant conditions. For comparison with PEG, our study examines the effects of Dextran of various molecular weights and concentrations on the stabilization of i-Motif DNA. Circular dichroism was used to obtain thermal melting profiles for i-Motifs in solution at pH 5.4, at which the typical i-Motif is formed. A range of 20 % to 40 % Dextran (1,000-6,000 g/mol) was examined. Our results indicate that high concentrations of Dextran thermally stabilize i-Motif DNA similarly to PEG.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2364473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of a Sensing System for the Measurement of the Hydrolysis of β-Lactam Antibiotics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Nicholas McGuire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mcguirend@appstate.edu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Nicholas McGuire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Libby G. Puckett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Appalachian State University, Boone,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Bacterial resistance to antibiotics is a problem that has developed over the last 75 years due to over-prescribing of and improper usage of these drugs. Through these processes, bacteria have developed and spread the gene for a protein known as β-lactamase, which catalyzes the hydrolysis of the β-lactam ring in many </w:t>
                  </w:r>
                  <w:proofErr w:type="gramStart"/>
                  <w:r w:rsidRPr="001F5B5C">
                    <w:rPr>
                      <w:rFonts w:ascii="Times New Roman" w:eastAsia="Times New Roman" w:hAnsi="Times New Roman"/>
                      <w:sz w:val="20"/>
                      <w:szCs w:val="20"/>
                    </w:rPr>
                    <w:t>penicillins</w:t>
                  </w:r>
                  <w:proofErr w:type="gramEnd"/>
                  <w:r w:rsidRPr="001F5B5C">
                    <w:rPr>
                      <w:rFonts w:ascii="Times New Roman" w:eastAsia="Times New Roman" w:hAnsi="Times New Roman"/>
                      <w:sz w:val="20"/>
                      <w:szCs w:val="20"/>
                    </w:rPr>
                    <w:t xml:space="preserve">, rendering them ineffective. Accordingly, the purpose of this research is to create a sensing system to measure the hydrolysis of β-lactam antibiotics using the enzyme β-lactamase. To accomplish this, the gene for β-lactamase can be fused with the gene for a fluorescent protein known as enhanced green fluorescent protein (EGFP), which will decrease in fluorescence upon the local pH change generated by the catalysis of a β-lactam ring. While previous research in this area has been successful in the development of an </w:t>
                  </w:r>
                  <w:r w:rsidRPr="001F5B5C">
                    <w:rPr>
                      <w:rFonts w:ascii="Times New Roman" w:eastAsia="Times New Roman" w:hAnsi="Times New Roman"/>
                      <w:i/>
                      <w:iCs/>
                      <w:sz w:val="20"/>
                      <w:szCs w:val="20"/>
                    </w:rPr>
                    <w:t>in vitro</w:t>
                  </w:r>
                  <w:r w:rsidRPr="001F5B5C">
                    <w:rPr>
                      <w:rFonts w:ascii="Times New Roman" w:eastAsia="Times New Roman" w:hAnsi="Times New Roman"/>
                      <w:sz w:val="20"/>
                      <w:szCs w:val="20"/>
                    </w:rPr>
                    <w:t xml:space="preserve"> fusion of the genes encoding for β-lactamase and EGFP, present research is focused on separately incorporating the individual genes for EGFP and β-lactamase into pFLAG-MAC expression vectors to verify the local pH theory and to redesign this process to create an </w:t>
                  </w:r>
                  <w:r w:rsidRPr="001F5B5C">
                    <w:rPr>
                      <w:rFonts w:ascii="Times New Roman" w:eastAsia="Times New Roman" w:hAnsi="Times New Roman"/>
                      <w:i/>
                      <w:iCs/>
                      <w:sz w:val="20"/>
                      <w:szCs w:val="20"/>
                    </w:rPr>
                    <w:t>in vivo</w:t>
                  </w:r>
                  <w:r w:rsidRPr="001F5B5C">
                    <w:rPr>
                      <w:rFonts w:ascii="Times New Roman" w:eastAsia="Times New Roman" w:hAnsi="Times New Roman"/>
                      <w:sz w:val="20"/>
                      <w:szCs w:val="20"/>
                    </w:rPr>
                    <w:t xml:space="preserve"> protein, thus creating a whole cell sensing system.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2364975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Biosynthesis of Mitochondrial Derived Peptide MOTS-c for Biological Characterization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James Smith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jmsmith923@gmail.com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James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Jonathan Meyers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Columbus State University, Fortson,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There is growing epidemiological evidence linking type II diabetes with increased cancer risks. While the</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underlying factors are not clear, hyper activation of one-carbon metabolic cycles, such as the methionine and</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folate cycles, has been shown to be a driving factor of oncogenesis. A newly discovered mitochondrial derived</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peptide, MOTS-c, has been shown to target these cycles as well as decrease insulin resistance similar to the</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type II diabetes treatment Metformin. Our cohort aims to determine the effect of MOTS-c and Metformin</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treatments on MDA-MB-468 breast cancer cells and MCF-12F normal breast cells. To support this biological</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characterization, a synthetic gene was designed to express a green fluorescent protein/MOTS-c fusion protein.</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The custom gene was cloned using IN-Fusion® protocol and expressed in </w:t>
                  </w:r>
                  <w:proofErr w:type="gramStart"/>
                  <w:r w:rsidRPr="001F5B5C">
                    <w:rPr>
                      <w:rFonts w:ascii="Times New Roman" w:eastAsia="Times New Roman" w:hAnsi="Times New Roman"/>
                      <w:sz w:val="20"/>
                      <w:szCs w:val="20"/>
                    </w:rPr>
                    <w:t>BL21(</w:t>
                  </w:r>
                  <w:proofErr w:type="gramEnd"/>
                  <w:r w:rsidRPr="001F5B5C">
                    <w:rPr>
                      <w:rFonts w:ascii="Times New Roman" w:eastAsia="Times New Roman" w:hAnsi="Times New Roman"/>
                      <w:sz w:val="20"/>
                      <w:szCs w:val="20"/>
                    </w:rPr>
                    <w:t>DE3) E. coli. The proteins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were purified by nickel affinity chromatography and GFP cleaved to produce native MOTS-c.</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2365183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Oxidation of endocrine disrupting chemicals by </w:t>
                  </w:r>
                  <w:r w:rsidRPr="001F5B5C">
                    <w:rPr>
                      <w:rFonts w:ascii="Times New Roman" w:eastAsia="Times New Roman" w:hAnsi="Times New Roman"/>
                      <w:i/>
                      <w:iCs/>
                      <w:sz w:val="20"/>
                      <w:szCs w:val="20"/>
                    </w:rPr>
                    <w:t>Trametes versicolor</w:t>
                  </w:r>
                  <w:r w:rsidRPr="001F5B5C">
                    <w:rPr>
                      <w:rFonts w:ascii="Times New Roman" w:eastAsia="Times New Roman" w:hAnsi="Times New Roman"/>
                      <w:sz w:val="20"/>
                      <w:szCs w:val="20"/>
                    </w:rPr>
                    <w:t xml:space="preserve"> laccase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Hannah Patterson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hannahepatterson@gmail.com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Hannah E. Patterson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Corey M. Johnson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Biochemistry, Samford University, Birmingham, AL, United States. </w:t>
                  </w:r>
                  <w:r w:rsidRPr="001F5B5C">
                    <w:rPr>
                      <w:rFonts w:ascii="Times New Roman" w:eastAsia="Times New Roman" w:hAnsi="Times New Roman"/>
                      <w:sz w:val="20"/>
                      <w:szCs w:val="20"/>
                    </w:rPr>
                    <w:br/>
                    <w:t xml:space="preserve">2. Judson College, Marion,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Endocrine disrupting chemicals (EDCs), including 17 b-estradiol (E2), 17 a-ethynylestradiol</w:t>
                  </w:r>
                  <w:proofErr w:type="gramStart"/>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EE2) and bis-phenol A (BPA), are pollutants with estrogenic activity. Unfortunately, these contaminants are not properly removed by current wastewater facility treatments. Laccase from white-rot fungi is a multi-copper oxidase with broad substrate specificity. The enzyme is capable of catalyzing EDC oxidation. Therefore, use of a high-potential, fungal laccase (</w:t>
                  </w:r>
                  <w:r w:rsidRPr="001F5B5C">
                    <w:rPr>
                      <w:rFonts w:ascii="Times New Roman" w:eastAsia="Times New Roman" w:hAnsi="Times New Roman"/>
                      <w:i/>
                      <w:iCs/>
                      <w:sz w:val="20"/>
                      <w:szCs w:val="20"/>
                    </w:rPr>
                    <w:t>e.g. Trametes versicolor</w:t>
                  </w:r>
                  <w:r w:rsidRPr="001F5B5C">
                    <w:rPr>
                      <w:rFonts w:ascii="Times New Roman" w:eastAsia="Times New Roman" w:hAnsi="Times New Roman"/>
                      <w:sz w:val="20"/>
                      <w:szCs w:val="20"/>
                    </w:rPr>
                    <w:t xml:space="preserve"> laccase (</w:t>
                  </w:r>
                  <w:r w:rsidRPr="001F5B5C">
                    <w:rPr>
                      <w:rFonts w:ascii="Times New Roman" w:eastAsia="Times New Roman" w:hAnsi="Times New Roman"/>
                      <w:i/>
                      <w:iCs/>
                      <w:sz w:val="20"/>
                      <w:szCs w:val="20"/>
                    </w:rPr>
                    <w:t>Tv</w:t>
                  </w:r>
                  <w:r w:rsidRPr="001F5B5C">
                    <w:rPr>
                      <w:rFonts w:ascii="Times New Roman" w:eastAsia="Times New Roman" w:hAnsi="Times New Roman"/>
                      <w:sz w:val="20"/>
                      <w:szCs w:val="20"/>
                    </w:rPr>
                    <w:t xml:space="preserve">L)) in decontamination applications is of interest. While removal of EDC estrogenic activity in the presence of laccase has been demonstrated, a thorough kinetic study for this reaction has not been reported. In addition, the metabolites of the oxidation reaction have not been adequately characterized. Herein, a unique assay for monitoring the rate of oxygen depletion was developed, and reproducible results for the rate of EE2 oxidation were obtained. In addition, the metabolic products of laccase-catalyzed oxidation were identified using mass spectrometry. Previously unreported, high-order polymers were noted for each EDC, providing additional insight into the laccase-catalyzed mechanism. The </w:t>
                  </w:r>
                  <w:proofErr w:type="gramStart"/>
                  <w:r w:rsidRPr="001F5B5C">
                    <w:rPr>
                      <w:rFonts w:ascii="Times New Roman" w:eastAsia="Times New Roman" w:hAnsi="Times New Roman"/>
                      <w:sz w:val="20"/>
                      <w:szCs w:val="20"/>
                    </w:rPr>
                    <w:t>results of this study confirms</w:t>
                  </w:r>
                  <w:proofErr w:type="gramEnd"/>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Tv</w:t>
                  </w:r>
                  <w:r w:rsidRPr="001F5B5C">
                    <w:rPr>
                      <w:rFonts w:ascii="Times New Roman" w:eastAsia="Times New Roman" w:hAnsi="Times New Roman"/>
                      <w:sz w:val="20"/>
                      <w:szCs w:val="20"/>
                    </w:rPr>
                    <w:t>L as an optimal choice for EDC remediation applications.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2365525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MTSL-Labeled Elastin-Like Proteins for Paramagnetic NMR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Cody Price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cjp318@msstate.edu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Cody J. Price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Yue Zhang</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Nicholas Fitzkee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 Dept Hand Lab Rm 1115, Mississippi State University, Mississippi State, MS, United States. </w:t>
                  </w:r>
                  <w:r w:rsidRPr="001F5B5C">
                    <w:rPr>
                      <w:rFonts w:ascii="Times New Roman" w:eastAsia="Times New Roman" w:hAnsi="Times New Roman"/>
                      <w:sz w:val="20"/>
                      <w:szCs w:val="20"/>
                    </w:rPr>
                    <w:br/>
                    <w:t xml:space="preserve">2. Department of Chemistry, Mississippi State University, Mississippi State,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Elastin-Like Proteins (ELPs) have been proposed as a novel drug delivery vector for treating cancer. These proteins aggregate reversibly above a specific temperature, allowing ELPs to be thermally targeted to cancerous tumors. Though proven successful in mouse models, without a molecular understanding of how ELPS aggregate, it remains extremely difficult to optimize these molecules for drug delivery in humans. Our long-term goal is to test the hypothesis that ELP aggregation is non-specific and does not originate at a specific nucleation point. In this project, we have completed the initial characterization of these proteins and begun paramagnetic labeling in preparation for critical NMR experiments. We successfully purified and expressed seven ELPs according to established methods with purity of ELP40 higher than 99% at a yield of 150mg/L. Using dynamic light scattering and one-dimensional proton NMR we have begun characterization of the temperature-dependent transition in our ELPs. In addition, we have labeled our protein using MTSL, a paramagnetic NMR probe that will help us to monitor protein association. Here, a series of chromatography methods are applied to achieve the MTSL-labeled ELP. Future work will utilize this MTSL-labeled ELP to monitor the extent to which protein interactions occur below the transition temperature.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2366440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GPR31 Modeling and Pharmacophore-Guided Antagonist Discovery</w:t>
                  </w:r>
                  <w:r w:rsidRPr="001F5B5C">
                    <w:rPr>
                      <w:rFonts w:ascii="Times New Roman" w:eastAsia="Times New Roman" w:hAnsi="Times New Roman"/>
                      <w:sz w:val="20"/>
                      <w:szCs w:val="20"/>
                    </w:rPr>
                    <w:br/>
                  </w:r>
                  <w:r w:rsidRPr="001F5B5C">
                    <w:rPr>
                      <w:rFonts w:ascii="Times New Roman" w:eastAsia="Times New Roman" w:hAnsi="Times New Roman"/>
                      <w:b/>
                      <w:bCs/>
                      <w:sz w:val="20"/>
                      <w:szCs w:val="20"/>
                    </w:rPr>
                    <w:t>Natalie Galindo and Abby Parrill</w:t>
                  </w:r>
                  <w:r w:rsidRPr="001F5B5C">
                    <w:rPr>
                      <w:rFonts w:ascii="Times New Roman" w:eastAsia="Times New Roman" w:hAnsi="Times New Roman"/>
                      <w:sz w:val="20"/>
                      <w:szCs w:val="20"/>
                    </w:rPr>
                    <w:br/>
                    <w:t>The University of Memphis, Memphis, TN 38152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Natalie Galindo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galna-17@rhodes.edu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Natalie A. Galindo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Abby L. Parrill-Baker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Rhodes College, Memphis, TN, United States. </w:t>
                  </w:r>
                  <w:r w:rsidRPr="001F5B5C">
                    <w:rPr>
                      <w:rFonts w:ascii="Times New Roman" w:eastAsia="Times New Roman" w:hAnsi="Times New Roman"/>
                      <w:sz w:val="20"/>
                      <w:szCs w:val="20"/>
                    </w:rPr>
                    <w:br/>
                    <w:t xml:space="preserve">2. The University of Memphis,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GPR31 is a G protein-coupled receptor implicated in aiding the growth and motility of cancer upon activation by an agonist. This effect can be suppressed by an antagonist. This study describes the construction of a model that displays strong intermolecular interactions with the known agonist, 12-S-HETE, and the known antagonist 13-S-HODE. Docking validates that this model makes poor interactions with eicosanoids that fail to displace 12-S-HETE, including 15-S-HETE, 5-S-HETE, LTB4, PGA1, PGE2, and PGF2α. Because this GPR31 model is consistent with the known pharmacological trends, it has been used to construct a pharmacophore consisting of features specific to the binding pose of antagonist 13-S-HODE. After searching approved drugs from the DrugBank database for potential antagonists of GPR31, we propose four candidate drug molecules to be screened experimentally. This study yields information concerning the specific interactions between GPR31and its agonist and antagonist that can aid in the development of novel drugs targeting GPR31.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2366722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Fluorescence and UV-Vis Studies of Lysozyme Modifications Induced by Quinones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Charles Thomas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drewt2150@gmail.com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Charles Thomas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Titus V. Albu</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at Chattanooga, Chattanooga, TN, United States. </w:t>
                  </w:r>
                  <w:r w:rsidRPr="001F5B5C">
                    <w:rPr>
                      <w:rFonts w:ascii="Times New Roman" w:eastAsia="Times New Roman" w:hAnsi="Times New Roman"/>
                      <w:sz w:val="20"/>
                      <w:szCs w:val="20"/>
                    </w:rPr>
                    <w:br/>
                    <w:t xml:space="preserve">2. Department of Chemistry Box 2522, University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Quinones belong to a class of chemicals known as polycyclic aromatic hydrocarbons. These chemicals have been found to be toxic in the environment, especially when interacting with certain proteins. In this study, we investigated the modification of lysozyme by substituted </w:t>
                  </w:r>
                  <w:r w:rsidRPr="001F5B5C">
                    <w:rPr>
                      <w:rFonts w:ascii="Times New Roman" w:eastAsia="Times New Roman" w:hAnsi="Times New Roman"/>
                      <w:i/>
                      <w:iCs/>
                      <w:sz w:val="20"/>
                      <w:szCs w:val="20"/>
                    </w:rPr>
                    <w:t>p</w:t>
                  </w:r>
                  <w:r w:rsidRPr="001F5B5C">
                    <w:rPr>
                      <w:rFonts w:ascii="Times New Roman" w:eastAsia="Times New Roman" w:hAnsi="Times New Roman"/>
                      <w:sz w:val="20"/>
                      <w:szCs w:val="20"/>
                    </w:rPr>
                    <w:t>-benzoquinones (pBQs) as well as substituted naphthoquinones (NQs). Fluorescence spectroscopy was used to measure the degree of modification of lysozyme when incubated with pBQs and NQs at differing concentrations and times. All reactions were carried out in a phosphate buffer (pH 7.0) at 37°C to mimic physiological conditions. The fluorescence intensity of modified lysozyme was shown to be less than that of unmodified lysozyme, and substituent effects were examined. UV-Vis spectroscopy was also utilized to show adduct formation and other protein modifications. This study adds to our understanding of the effects of quinones on biological systems.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2366723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Modeling GPR6: A potential therapeutic target in the treatment of Parkinson’s Disease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Rachel Coleman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rac0024@auburn.edu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Rachel Coleman</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Abby L. Parrill-Baker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The University of Memphis, Memphis, TN, United States. </w:t>
                  </w:r>
                  <w:r w:rsidRPr="001F5B5C">
                    <w:rPr>
                      <w:rFonts w:ascii="Times New Roman" w:eastAsia="Times New Roman" w:hAnsi="Times New Roman"/>
                      <w:sz w:val="20"/>
                      <w:szCs w:val="20"/>
                    </w:rPr>
                    <w:br/>
                    <w:t xml:space="preserve">2. Auburn University, Auburn,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For years, G protein-coupled receptors (GPCRs), the largest group of transmembrane receptors in humans, have been prominent therapeutic targets in the pharmaceutical industry, targeted by 30% of drugs currently on the market. The pharmacological importance of GPCRs has made these receptors of particular interest. One such GPCR, GPR6, has proven to be associated with symptoms of Parkinson’s Disease, making this receptor of interest as a potential therapeutic target. Using computational homology modeling and loop modeling techniques, a model of GPR6 was built that showed favorable interactions with an endogenous phospholipid agonist, and rationalized binding of five patented GPR6 antagonists while exhibiting only modest consistency with potency trends. Validation of this model can be done in lab by mutating Arg153 which formed a strong ion pair with the phospholipid agonist and the most potent antagonist, as well as His237 and Tyr245, which form key contacts with all except the least potent antagonist. The model of GPR6 can then be used to search for candidate drug-like antagonists, which could lead to novel treatments of Parkinson’s Disease.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7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2366782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LKE as a potential therapeutic for neurodegeneration in a mouse model of neuronal ceroid-lipofuscinosis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Caleb Willis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Caleb.willis@my.maryvillecollege.edu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Caleb Willis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Katherine White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Helen Magee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Rachel Laufmann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Derek Timm</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Jill M. Weimer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Maryville College, Maryville, TN, United States. </w:t>
                  </w:r>
                  <w:r w:rsidRPr="001F5B5C">
                    <w:rPr>
                      <w:rFonts w:ascii="Times New Roman" w:eastAsia="Times New Roman" w:hAnsi="Times New Roman"/>
                      <w:sz w:val="20"/>
                      <w:szCs w:val="20"/>
                    </w:rPr>
                    <w:br/>
                    <w:t xml:space="preserve">2. Children's Health, Sanford Research, Sioux Falls, SD,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Neuron damage by injury or disease can lead to axon degeneration and to the eventual death of the neuron. This problem can be approached in multiple ways, one of which is stabilizing the axon during the “therapeutic window” between degeneration and cell death to prevent the cell from dying. As a model for this phenomenon, we studied neuronal ceroid-lipofuscinosis (NCL), a pediatric neurodegenerative disorder characterized by seizures, blindness, loss of motor coordination, and early death. We used a representative mouse model in this study (</w:t>
                  </w:r>
                  <w:r w:rsidRPr="001F5B5C">
                    <w:rPr>
                      <w:rFonts w:ascii="Times New Roman" w:eastAsia="Times New Roman" w:hAnsi="Times New Roman"/>
                      <w:i/>
                      <w:iCs/>
                      <w:sz w:val="20"/>
                      <w:szCs w:val="20"/>
                    </w:rPr>
                    <w:t>Cln6</w:t>
                  </w:r>
                  <w:r w:rsidRPr="001F5B5C">
                    <w:rPr>
                      <w:rFonts w:ascii="Times New Roman" w:eastAsia="Times New Roman" w:hAnsi="Times New Roman"/>
                      <w:sz w:val="20"/>
                      <w:szCs w:val="20"/>
                      <w:vertAlign w:val="superscript"/>
                    </w:rPr>
                    <w:t>nclf</w:t>
                  </w:r>
                  <w:r w:rsidRPr="001F5B5C">
                    <w:rPr>
                      <w:rFonts w:ascii="Times New Roman" w:eastAsia="Times New Roman" w:hAnsi="Times New Roman"/>
                      <w:sz w:val="20"/>
                      <w:szCs w:val="20"/>
                    </w:rPr>
                    <w:t xml:space="preserve">) to assess the therapeutic potential of lanthionine ketamine ester (LKE), a compound known to promote neurite outgrowth and potentially stabilize the axon during degeneration. Weanling and </w:t>
                  </w:r>
                  <w:r w:rsidRPr="001F5B5C">
                    <w:rPr>
                      <w:rFonts w:ascii="Times New Roman" w:eastAsia="Times New Roman" w:hAnsi="Times New Roman"/>
                      <w:i/>
                      <w:iCs/>
                      <w:sz w:val="20"/>
                      <w:szCs w:val="20"/>
                    </w:rPr>
                    <w:t>Cln6</w:t>
                  </w:r>
                  <w:r w:rsidRPr="001F5B5C">
                    <w:rPr>
                      <w:rFonts w:ascii="Times New Roman" w:eastAsia="Times New Roman" w:hAnsi="Times New Roman"/>
                      <w:sz w:val="20"/>
                      <w:szCs w:val="20"/>
                    </w:rPr>
                    <w:t xml:space="preserve"> mice were given LKE in their chow for 12 months and sacrificed. Throughout various timepoints, visual acuity was tested by visual cliff, and motor coordination was tested using rotarod and pole climb. Immunohistochemistry was used to assess accumulation of NCL-characteristic autofluorescent storage material (ASM), microglial and astrocytic activation as a measure of immune response, and cortical thickness as a measure of neuron proliferation and outgrowth. Pathologically, LKE reduced ASM accumulation, rescued cortical thickness deficits, and increased microglial activation in </w:t>
                  </w:r>
                  <w:r w:rsidRPr="001F5B5C">
                    <w:rPr>
                      <w:rFonts w:ascii="Times New Roman" w:eastAsia="Times New Roman" w:hAnsi="Times New Roman"/>
                      <w:i/>
                      <w:iCs/>
                      <w:sz w:val="20"/>
                      <w:szCs w:val="20"/>
                    </w:rPr>
                    <w:t>Cln6</w:t>
                  </w:r>
                  <w:r w:rsidRPr="001F5B5C">
                    <w:rPr>
                      <w:rFonts w:ascii="Times New Roman" w:eastAsia="Times New Roman" w:hAnsi="Times New Roman"/>
                      <w:sz w:val="20"/>
                      <w:szCs w:val="20"/>
                      <w:vertAlign w:val="superscript"/>
                    </w:rPr>
                    <w:t>nclf</w:t>
                  </w:r>
                  <w:r w:rsidRPr="001F5B5C">
                    <w:rPr>
                      <w:rFonts w:ascii="Times New Roman" w:eastAsia="Times New Roman" w:hAnsi="Times New Roman"/>
                      <w:sz w:val="20"/>
                      <w:szCs w:val="20"/>
                    </w:rPr>
                    <w:t xml:space="preserve"> mice. Behaviorally, LKE improved survival but did not prevent early death in </w:t>
                  </w:r>
                  <w:r w:rsidRPr="001F5B5C">
                    <w:rPr>
                      <w:rFonts w:ascii="Times New Roman" w:eastAsia="Times New Roman" w:hAnsi="Times New Roman"/>
                      <w:i/>
                      <w:iCs/>
                      <w:sz w:val="20"/>
                      <w:szCs w:val="20"/>
                    </w:rPr>
                    <w:t>Cln6</w:t>
                  </w:r>
                  <w:r w:rsidRPr="001F5B5C">
                    <w:rPr>
                      <w:rFonts w:ascii="Times New Roman" w:eastAsia="Times New Roman" w:hAnsi="Times New Roman"/>
                      <w:sz w:val="20"/>
                      <w:szCs w:val="20"/>
                      <w:vertAlign w:val="superscript"/>
                    </w:rPr>
                    <w:t>nclf</w:t>
                  </w:r>
                  <w:r w:rsidRPr="001F5B5C">
                    <w:rPr>
                      <w:rFonts w:ascii="Times New Roman" w:eastAsia="Times New Roman" w:hAnsi="Times New Roman"/>
                      <w:sz w:val="20"/>
                      <w:szCs w:val="20"/>
                    </w:rPr>
                    <w:t xml:space="preserve">. LKE also improved visual acuity but failed to improve motor deficits in </w:t>
                  </w:r>
                  <w:r w:rsidRPr="001F5B5C">
                    <w:rPr>
                      <w:rFonts w:ascii="Times New Roman" w:eastAsia="Times New Roman" w:hAnsi="Times New Roman"/>
                      <w:i/>
                      <w:iCs/>
                      <w:sz w:val="20"/>
                      <w:szCs w:val="20"/>
                    </w:rPr>
                    <w:t>Cln6</w:t>
                  </w:r>
                  <w:r w:rsidRPr="001F5B5C">
                    <w:rPr>
                      <w:rFonts w:ascii="Times New Roman" w:eastAsia="Times New Roman" w:hAnsi="Times New Roman"/>
                      <w:sz w:val="20"/>
                      <w:szCs w:val="20"/>
                      <w:vertAlign w:val="superscript"/>
                    </w:rPr>
                    <w:t>nclf</w:t>
                  </w:r>
                  <w:r w:rsidRPr="001F5B5C">
                    <w:rPr>
                      <w:rFonts w:ascii="Times New Roman" w:eastAsia="Times New Roman" w:hAnsi="Times New Roman"/>
                      <w:sz w:val="20"/>
                      <w:szCs w:val="20"/>
                    </w:rPr>
                    <w:t xml:space="preserve"> mice. In conclusion, LKE may have a therapeutic effect in the </w:t>
                  </w:r>
                  <w:r w:rsidRPr="001F5B5C">
                    <w:rPr>
                      <w:rFonts w:ascii="Times New Roman" w:eastAsia="Times New Roman" w:hAnsi="Times New Roman"/>
                      <w:i/>
                      <w:iCs/>
                      <w:sz w:val="20"/>
                      <w:szCs w:val="20"/>
                    </w:rPr>
                    <w:t>Cln6</w:t>
                  </w:r>
                  <w:r w:rsidRPr="001F5B5C">
                    <w:rPr>
                      <w:rFonts w:ascii="Times New Roman" w:eastAsia="Times New Roman" w:hAnsi="Times New Roman"/>
                      <w:sz w:val="20"/>
                      <w:szCs w:val="20"/>
                      <w:vertAlign w:val="superscript"/>
                    </w:rPr>
                    <w:t>nclf</w:t>
                  </w:r>
                  <w:r w:rsidRPr="001F5B5C">
                    <w:rPr>
                      <w:rFonts w:ascii="Times New Roman" w:eastAsia="Times New Roman" w:hAnsi="Times New Roman"/>
                      <w:sz w:val="20"/>
                      <w:szCs w:val="20"/>
                    </w:rPr>
                    <w:t xml:space="preserve"> variant of NCL. These findings provide understanding of therapeutics for neurodegenerative diseases and NCL in particular, and may potentially lead to the design of combinatorial therapeutics in the future.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2366799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Heat shock response in lung fibroblasts to changes in environmental calcium</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Bethel Sharma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bvsharma@sewanee.edu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Cid Oculam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Oksana Creech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Bethel Sharma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The Universiy of the South, Sewanee,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Pulmonary fibrosis is a terminal disease caused by progressive scarring of the lungs. Fibrosis results when specialized cells called myofibroblasts are recruited to repair damage, but do not die or migrate away once the repair is complete. Myofibroblast apoptosis, or programmed cell death, is crucial to prevention of the onset of fibrosis. Unfortunately, these cells appear resistant to apoptosis and the mechanisms that govern them are poorly understood. For this study, fibrosis progression was modeled using cultured human fetal lung fibroblasts. The “wound healing” response to changes in extracellular calcium concentrations, with and without additional extracellular insulin was performed. Given the roles of HSP 70 and HSP 47 in fibrosis and wound healing, the presence and relative expression of these proteins under varying extracellular calcium and insulin concentrations were observed via immunoblotting. Through scratch assay experiments, we have also measured calcium-dependent changes in cell migration.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2366862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Characterization of transcription factors from the extremophile </w:t>
                  </w:r>
                  <w:r w:rsidRPr="001F5B5C">
                    <w:rPr>
                      <w:rFonts w:ascii="Times New Roman" w:eastAsia="Times New Roman" w:hAnsi="Times New Roman"/>
                      <w:b/>
                      <w:bCs/>
                      <w:i/>
                      <w:iCs/>
                      <w:sz w:val="20"/>
                      <w:szCs w:val="20"/>
                    </w:rPr>
                    <w:t>Thermus thermophilus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Kamir Hiam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khiam@students.kennesaw.edu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Kamir Hiam</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Kennesaw State University, Kennesaw,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power of modern genetic sequencing has yielded a wealth of knowledge in the past decades, with the genomes for thousands of organisms now fully sequenced. However, the function of many genes and the biological roles of their encoded products are still not well characterized. Given the sequence-specific DNA-binding properties of transcription factor (TF) proteins, it is possible to purify them, identify the responsible polypeptide(s), determine their consensus binding sequences, and identify their genomic binding sites. Thus, one can go from cellular extract to proposed biological regulatory roles in relatively short order. Our goal is to identify and characterize previously unknown TFs in the extremophile </w:t>
                  </w:r>
                  <w:r w:rsidRPr="001F5B5C">
                    <w:rPr>
                      <w:rFonts w:ascii="Times New Roman" w:eastAsia="Times New Roman" w:hAnsi="Times New Roman"/>
                      <w:i/>
                      <w:iCs/>
                      <w:sz w:val="20"/>
                      <w:szCs w:val="20"/>
                    </w:rPr>
                    <w:t xml:space="preserve">T. thermophilus </w:t>
                  </w:r>
                  <w:r w:rsidRPr="001F5B5C">
                    <w:rPr>
                      <w:rFonts w:ascii="Times New Roman" w:eastAsia="Times New Roman" w:hAnsi="Times New Roman"/>
                      <w:sz w:val="20"/>
                      <w:szCs w:val="20"/>
                    </w:rPr>
                    <w:t xml:space="preserve">using the novel combinatorial technique, Restriction Endonuclease Protection Selection Amplification (REPSA). REPSA does not require any prior knowledge of a ligand in order to determine its preferred binding site on duplex DNA and has been previously utilized successfully to identify binding specificity for a variety of ligands. SbtR is a transcriptional regulator in </w:t>
                  </w:r>
                  <w:r w:rsidRPr="001F5B5C">
                    <w:rPr>
                      <w:rFonts w:ascii="Times New Roman" w:eastAsia="Times New Roman" w:hAnsi="Times New Roman"/>
                      <w:i/>
                      <w:iCs/>
                      <w:sz w:val="20"/>
                      <w:szCs w:val="20"/>
                    </w:rPr>
                    <w:t>T. thermophilus</w:t>
                  </w:r>
                  <w:r w:rsidRPr="001F5B5C">
                    <w:rPr>
                      <w:rFonts w:ascii="Times New Roman" w:eastAsia="Times New Roman" w:hAnsi="Times New Roman"/>
                      <w:sz w:val="20"/>
                      <w:szCs w:val="20"/>
                    </w:rPr>
                    <w:t xml:space="preserve"> that has been implicated in regulation of transporters and metabolism. A binding profile for SbtR has been previously </w:t>
                  </w:r>
                  <w:proofErr w:type="gramStart"/>
                  <w:r w:rsidRPr="001F5B5C">
                    <w:rPr>
                      <w:rFonts w:ascii="Times New Roman" w:eastAsia="Times New Roman" w:hAnsi="Times New Roman"/>
                      <w:sz w:val="20"/>
                      <w:szCs w:val="20"/>
                    </w:rPr>
                    <w:t>determined,</w:t>
                  </w:r>
                  <w:proofErr w:type="gramEnd"/>
                  <w:r w:rsidRPr="001F5B5C">
                    <w:rPr>
                      <w:rFonts w:ascii="Times New Roman" w:eastAsia="Times New Roman" w:hAnsi="Times New Roman"/>
                      <w:sz w:val="20"/>
                      <w:szCs w:val="20"/>
                    </w:rPr>
                    <w:t xml:space="preserve"> however a combinatorial technique like REPSA has not been utilized. Thus, SbtR provides a proof-of-concept by which to optimize REPSA and a roadmap for the study of other orphan TFs. This research is expected to lead to a greater understanding of bacterial biology at a molecular level and ultimately advance public health by characterizing orphan regulatory proteins that can be critical players in many different microbial diseases.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2366869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Characterization of a potential allosteric site in tetrahydrodipicilonate-N-succinyltransferase (DapD) using the effector molecule 2-aminoterephthalic acid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Abby McMurry | Nick Clanton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kmcmurry@samford.edu | nclanton@samford.edu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Abby McMurry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Nick A. Clanton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Corey M. Johnson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Biochemistry, Samford University, Birmingham,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Multi-drug resistance is a growing problem in the treatment of life-threatening bacterial infections. The identification of new molecular targets is crucial in order to continue the use of pharmacological therapy on drug-resistant pathogens. Tetrahydrodipicilonate-N-succinyltransferase (DapD) is an enzyme responsible for the committed step in lysine and meso-diaminopimelate (a component of the peptidoglycan) biosynthesis for gram-negative bacteria. Preliminary data suggest the existence of a previously unidentified, allosteric site on this known antibiotic target. Characterization of this site will enable design of novel, species-specific therapeutics that target a less conserved region of the enzyme.</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Docking studies suggest the presence of an N-terminal allosteric site (Site 1) distal to the known catalytic site of DapD (Site 2) that preferentially binds the natural substrate, tetrahydrodipicolinate (THDP). The THDP mimic, 2-aminoteraphthalic acid (2-ATPA), docked favorably to sites 1 and 2. The </w:t>
                  </w:r>
                  <w:proofErr w:type="gramStart"/>
                  <w:r w:rsidRPr="001F5B5C">
                    <w:rPr>
                      <w:rFonts w:ascii="Times New Roman" w:eastAsia="Times New Roman" w:hAnsi="Times New Roman"/>
                      <w:sz w:val="20"/>
                      <w:szCs w:val="20"/>
                    </w:rPr>
                    <w:t>generation of conformational changes associated with ATPA binding were</w:t>
                  </w:r>
                  <w:proofErr w:type="gramEnd"/>
                  <w:r w:rsidRPr="001F5B5C">
                    <w:rPr>
                      <w:rFonts w:ascii="Times New Roman" w:eastAsia="Times New Roman" w:hAnsi="Times New Roman"/>
                      <w:sz w:val="20"/>
                      <w:szCs w:val="20"/>
                    </w:rPr>
                    <w:t xml:space="preserve"> analyzed by fluorescence measurements. 2-ATPA effectively quenches intrinsic enzyme fluorescence (appK</w:t>
                  </w:r>
                  <w:r w:rsidRPr="001F5B5C">
                    <w:rPr>
                      <w:rFonts w:ascii="Times New Roman" w:eastAsia="Times New Roman" w:hAnsi="Times New Roman"/>
                      <w:sz w:val="20"/>
                      <w:szCs w:val="20"/>
                      <w:vertAlign w:val="subscript"/>
                    </w:rPr>
                    <w:t>D</w:t>
                  </w:r>
                  <w:r w:rsidRPr="001F5B5C">
                    <w:rPr>
                      <w:rFonts w:ascii="Times New Roman" w:eastAsia="Times New Roman" w:hAnsi="Times New Roman"/>
                      <w:sz w:val="20"/>
                      <w:szCs w:val="20"/>
                    </w:rPr>
                    <w:t xml:space="preserve"> = 0.5 mM; Stern-Volmer constant, K = 4.46). In support of the allosteric model, pre-incubation with substrates, both of which occupy Site 2, results in an increased affinity for 2-ATPA and more effective quenching (appK</w:t>
                  </w:r>
                  <w:r w:rsidRPr="001F5B5C">
                    <w:rPr>
                      <w:rFonts w:ascii="Times New Roman" w:eastAsia="Times New Roman" w:hAnsi="Times New Roman"/>
                      <w:sz w:val="20"/>
                      <w:szCs w:val="20"/>
                      <w:vertAlign w:val="subscript"/>
                    </w:rPr>
                    <w:t>D</w:t>
                  </w:r>
                  <w:r w:rsidRPr="001F5B5C">
                    <w:rPr>
                      <w:rFonts w:ascii="Times New Roman" w:eastAsia="Times New Roman" w:hAnsi="Times New Roman"/>
                      <w:sz w:val="20"/>
                      <w:szCs w:val="20"/>
                    </w:rPr>
                    <w:t xml:space="preserve"> = 0.2 mM; Stern-Volmer constant, K = 7.85). Preliminary kinetic data suggest an increase in DapD activity in the presence of 2-ATPA. All of the data collected are consistent with the existence of a targetable allosteric site for an enzyme that produces two essential metabolites in pathogenic, multi-drug resistant bacteria.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2366882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Cloning, expression and purification of two pyridoxal 5’phosphate-dependent enzymes to be used in the development of novel activity-based probes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Corey Johnson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cjohnso9@samford.edu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Mallory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Corey M. Johnson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Biochemistry, Samford University, Birmingham,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Activity-based probes have addressed the need for new tools to facilitate assignment of protein function </w:t>
                  </w:r>
                  <w:r w:rsidRPr="001F5B5C">
                    <w:rPr>
                      <w:rFonts w:ascii="Times New Roman" w:eastAsia="Times New Roman" w:hAnsi="Times New Roman"/>
                      <w:i/>
                      <w:iCs/>
                      <w:sz w:val="20"/>
                      <w:szCs w:val="20"/>
                    </w:rPr>
                    <w:t>in vivo</w:t>
                  </w:r>
                  <w:r w:rsidRPr="001F5B5C">
                    <w:rPr>
                      <w:rFonts w:ascii="Times New Roman" w:eastAsia="Times New Roman" w:hAnsi="Times New Roman"/>
                      <w:sz w:val="20"/>
                      <w:szCs w:val="20"/>
                    </w:rPr>
                    <w:t xml:space="preserve">. While probes have been developed for several enzyme families, to our knowledge, no probe exists for a pyridoxal 5’ phosphate (PLP)-dependent enzyme. Human cystathionine gamma lyase (CSE) catalyzes the conversion of cysteine to hydrogen sulfide, an important cell signaling molecule. </w:t>
                  </w:r>
                  <w:r w:rsidRPr="001F5B5C">
                    <w:rPr>
                      <w:rFonts w:ascii="Times New Roman" w:eastAsia="Times New Roman" w:hAnsi="Times New Roman"/>
                      <w:i/>
                      <w:iCs/>
                      <w:sz w:val="20"/>
                      <w:szCs w:val="20"/>
                    </w:rPr>
                    <w:t>O</w:t>
                  </w:r>
                  <w:r w:rsidRPr="001F5B5C">
                    <w:rPr>
                      <w:rFonts w:ascii="Times New Roman" w:eastAsia="Times New Roman" w:hAnsi="Times New Roman"/>
                      <w:sz w:val="20"/>
                      <w:szCs w:val="20"/>
                    </w:rPr>
                    <w:t xml:space="preserve">-acetylserine sulfhydrylase-A (OASS-A) from </w:t>
                  </w:r>
                  <w:r w:rsidRPr="001F5B5C">
                    <w:rPr>
                      <w:rFonts w:ascii="Times New Roman" w:eastAsia="Times New Roman" w:hAnsi="Times New Roman"/>
                      <w:i/>
                      <w:iCs/>
                      <w:sz w:val="20"/>
                      <w:szCs w:val="20"/>
                    </w:rPr>
                    <w:t>Haemophilus influenzae</w:t>
                  </w:r>
                  <w:r w:rsidRPr="001F5B5C">
                    <w:rPr>
                      <w:rFonts w:ascii="Times New Roman" w:eastAsia="Times New Roman" w:hAnsi="Times New Roman"/>
                      <w:sz w:val="20"/>
                      <w:szCs w:val="20"/>
                    </w:rPr>
                    <w:t xml:space="preserve">, another PLP-dependent enzyme, shares a similar active site architecture to CSE. OASS-A catalyzes the last step of cysteine biosynthesis in bacteria and plants. Herein, CSE was subcloned into a suitable expression vector to allow over-expression and purification in </w:t>
                  </w:r>
                  <w:r w:rsidRPr="001F5B5C">
                    <w:rPr>
                      <w:rFonts w:ascii="Times New Roman" w:eastAsia="Times New Roman" w:hAnsi="Times New Roman"/>
                      <w:i/>
                      <w:iCs/>
                      <w:sz w:val="20"/>
                      <w:szCs w:val="20"/>
                    </w:rPr>
                    <w:t>E. Coli</w:t>
                  </w:r>
                  <w:r w:rsidRPr="001F5B5C">
                    <w:rPr>
                      <w:rFonts w:ascii="Times New Roman" w:eastAsia="Times New Roman" w:hAnsi="Times New Roman"/>
                      <w:sz w:val="20"/>
                      <w:szCs w:val="20"/>
                    </w:rPr>
                    <w:t xml:space="preserve">. OASS-A was over-expressed and purified for parallel use in small molecule inhibitor screens and probe development studies. Potential ligand warheads identified using computational chemistry </w:t>
                  </w:r>
                  <w:proofErr w:type="gramStart"/>
                  <w:r w:rsidRPr="001F5B5C">
                    <w:rPr>
                      <w:rFonts w:ascii="Times New Roman" w:eastAsia="Times New Roman" w:hAnsi="Times New Roman"/>
                      <w:sz w:val="20"/>
                      <w:szCs w:val="20"/>
                    </w:rPr>
                    <w:t>were</w:t>
                  </w:r>
                  <w:proofErr w:type="gramEnd"/>
                  <w:r w:rsidRPr="001F5B5C">
                    <w:rPr>
                      <w:rFonts w:ascii="Times New Roman" w:eastAsia="Times New Roman" w:hAnsi="Times New Roman"/>
                      <w:sz w:val="20"/>
                      <w:szCs w:val="20"/>
                    </w:rPr>
                    <w:t xml:space="preserve"> screened using activity assays. Preliminary studies are consistent with gabaculine as a previously unidentified effector of OASS-A. The mode of action for this effector is currently under investigation.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Characterization of Modified Poly (Xylitol Sebacate) (PXS) Copolymers for Improved Nanoparticle Formation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Jerome Morris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jamorris23@my.fisk.edu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Jerome A. Morris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Natalie Arnett</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Life and Physical Science, Fisk University, </w:t>
                  </w:r>
                  <w:proofErr w:type="gramStart"/>
                  <w:r w:rsidRPr="001F5B5C">
                    <w:rPr>
                      <w:rFonts w:ascii="Times New Roman" w:eastAsia="Times New Roman" w:hAnsi="Times New Roman"/>
                      <w:sz w:val="20"/>
                      <w:szCs w:val="20"/>
                    </w:rPr>
                    <w:t>Nashville ,</w:t>
                  </w:r>
                  <w:proofErr w:type="gramEnd"/>
                  <w:r w:rsidRPr="001F5B5C">
                    <w:rPr>
                      <w:rFonts w:ascii="Times New Roman" w:eastAsia="Times New Roman" w:hAnsi="Times New Roman"/>
                      <w:sz w:val="20"/>
                      <w:szCs w:val="20"/>
                    </w:rPr>
                    <w:t xml:space="preserve"> TN, United States. </w:t>
                  </w:r>
                  <w:r w:rsidRPr="001F5B5C">
                    <w:rPr>
                      <w:rFonts w:ascii="Times New Roman" w:eastAsia="Times New Roman" w:hAnsi="Times New Roman"/>
                      <w:sz w:val="20"/>
                      <w:szCs w:val="20"/>
                    </w:rPr>
                    <w:br/>
                    <w:t xml:space="preserve">2. Life and Physical Science, Fisk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To date polymeric drug delivery for chemotherapeutic drug has been extensively studied, with very few advances. The most widely used delivery vehicle for chemotherapeutic drug is poly (L-lactic-co-glycolic acid) (PLGA), an amphiphilic biodegradable polymer, with a good </w:t>
                  </w:r>
                  <w:r w:rsidRPr="001F5B5C">
                    <w:rPr>
                      <w:rFonts w:ascii="Times New Roman" w:eastAsia="Times New Roman" w:hAnsi="Times New Roman"/>
                      <w:i/>
                      <w:iCs/>
                      <w:sz w:val="20"/>
                      <w:szCs w:val="20"/>
                    </w:rPr>
                    <w:t>in</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vivo</w:t>
                  </w:r>
                  <w:r w:rsidRPr="001F5B5C">
                    <w:rPr>
                      <w:rFonts w:ascii="Times New Roman" w:eastAsia="Times New Roman" w:hAnsi="Times New Roman"/>
                      <w:sz w:val="20"/>
                      <w:szCs w:val="20"/>
                    </w:rPr>
                    <w:t xml:space="preserve"> halftime life. Our alternative to PLGA, poly-xylitol sebacate, on the macroscale, has been researched and proven to be more biocompatible than PLGA. The only drawback is that the hydrophilic nature of PXS makes it difficult for nanoparticle formation. Therefore the goal of this research is to synthesize hydrophobic monomers to be incorporated along the backbone of PXS, to increase its hydrophobic character. The PXS molecule will become more amphiphilic by conjugating the polymer with hydrophobic block monomers. So far, successful synthesis of hydrophobic monomers, such as stearic xylitol has been accomplished.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HNMR confirmed the formation of stearic xylitol by the visible esters peaks of stearic xylitol at 2.3 and 4.3ppm.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2367308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Functional analysis of NMDAR </w:t>
                  </w:r>
                  <w:r w:rsidRPr="001F5B5C">
                    <w:rPr>
                      <w:rFonts w:ascii="Times New Roman" w:eastAsia="Times New Roman" w:hAnsi="Times New Roman"/>
                      <w:b/>
                      <w:bCs/>
                      <w:i/>
                      <w:iCs/>
                      <w:sz w:val="20"/>
                      <w:szCs w:val="20"/>
                    </w:rPr>
                    <w:t>GRIN1</w:t>
                  </w:r>
                  <w:r w:rsidRPr="001F5B5C">
                    <w:rPr>
                      <w:rFonts w:ascii="Times New Roman" w:eastAsia="Times New Roman" w:hAnsi="Times New Roman"/>
                      <w:b/>
                      <w:bCs/>
                      <w:sz w:val="20"/>
                      <w:szCs w:val="20"/>
                    </w:rPr>
                    <w:t xml:space="preserve"> mutations associated with infantile-onset epilepsy and encephalopathy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Joseph Pecha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jpecha@udallas.edu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Joseph Pecha</w:t>
                  </w:r>
                  <w:r w:rsidRPr="001F5B5C">
                    <w:rPr>
                      <w:rFonts w:ascii="Times New Roman" w:eastAsia="Times New Roman" w:hAnsi="Times New Roman"/>
                      <w:sz w:val="20"/>
                      <w:szCs w:val="20"/>
                      <w:vertAlign w:val="superscript"/>
                    </w:rPr>
                    <w:t>2, 1</w:t>
                  </w:r>
                  <w:r w:rsidRPr="001F5B5C">
                    <w:rPr>
                      <w:rFonts w:ascii="Times New Roman" w:eastAsia="Times New Roman" w:hAnsi="Times New Roman"/>
                      <w:sz w:val="20"/>
                      <w:szCs w:val="20"/>
                    </w:rPr>
                    <w:t>, Chun Hu</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Hiro Kusumoto</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Wenjuan Chen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Hongjie Yuan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Stephen Traynelis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The University of Dallas, Irving, TX, United States. </w:t>
                  </w:r>
                  <w:r w:rsidRPr="001F5B5C">
                    <w:rPr>
                      <w:rFonts w:ascii="Times New Roman" w:eastAsia="Times New Roman" w:hAnsi="Times New Roman"/>
                      <w:sz w:val="20"/>
                      <w:szCs w:val="20"/>
                    </w:rPr>
                    <w:br/>
                    <w:t xml:space="preserve">2. Pharmacology, Emory University,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N-methyl-D-aspartate receptors (NMDAR) are ionotropic ligand-gated glutamate receptors which are permeable to cations such as calcium and are expressed in the brain. This study focuses on three </w:t>
                  </w:r>
                  <w:r w:rsidRPr="001F5B5C">
                    <w:rPr>
                      <w:rFonts w:ascii="Times New Roman" w:eastAsia="Times New Roman" w:hAnsi="Times New Roman"/>
                      <w:i/>
                      <w:iCs/>
                      <w:sz w:val="20"/>
                      <w:szCs w:val="20"/>
                    </w:rPr>
                    <w:t>de novo</w:t>
                  </w:r>
                  <w:r w:rsidRPr="001F5B5C">
                    <w:rPr>
                      <w:rFonts w:ascii="Times New Roman" w:eastAsia="Times New Roman" w:hAnsi="Times New Roman"/>
                      <w:sz w:val="20"/>
                      <w:szCs w:val="20"/>
                    </w:rPr>
                    <w:t xml:space="preserve"> GluN1 subunit missense mutations (1-D552E, 1-G815R, and 1-M641I) identified in patients with early-onset epileptic encephalopathy. The functional change in the mutant receptors compared with the WT receptors as measured by agonist potency and sensitivity to negative modulators was determined and rescue pharmacology was attempted.</w:t>
                  </w:r>
                  <w:r w:rsidRPr="001F5B5C">
                    <w:rPr>
                      <w:rFonts w:ascii="Times New Roman" w:eastAsia="Times New Roman" w:hAnsi="Times New Roman"/>
                      <w:sz w:val="20"/>
                      <w:szCs w:val="20"/>
                    </w:rPr>
                    <w:br/>
                    <w:t xml:space="preserve">Site-directed mutagenesis via the Quick-Change protocol was used to create the mutant receptors. Transcription of cRNA and expression in </w:t>
                  </w:r>
                  <w:r w:rsidRPr="001F5B5C">
                    <w:rPr>
                      <w:rFonts w:ascii="Times New Roman" w:eastAsia="Times New Roman" w:hAnsi="Times New Roman"/>
                      <w:i/>
                      <w:iCs/>
                      <w:sz w:val="20"/>
                      <w:szCs w:val="20"/>
                    </w:rPr>
                    <w:t>X. laevis</w:t>
                  </w:r>
                  <w:r w:rsidRPr="001F5B5C">
                    <w:rPr>
                      <w:rFonts w:ascii="Times New Roman" w:eastAsia="Times New Roman" w:hAnsi="Times New Roman"/>
                      <w:sz w:val="20"/>
                      <w:szCs w:val="20"/>
                    </w:rPr>
                    <w:t xml:space="preserve"> oocytes followed. Two electrode voltage clamp analysis was conducted and it was determined that the 1-D552E mutation resulted in a decrease in NMDAR function as determined by decreased glutamate (17 ± 2.7 µM vs. 4.3 ± 0.5 µM for the WT) and glycine (3.6 ± 0.4 µM vs. 1.4 ± 0.7 µM for the WT) potency, and increased proton and magnesium inhibition compared with the WT receptors. The 1-M641I mutant receptors displayed an increase in receptor function as determined by increased glycine potency and decreased magnesium sensitivity compared with the WT receptors. The 1-G815R mutant receptors displayed varied effects, showing a decrease in glutamate and glycine potency, but also </w:t>
                  </w:r>
                  <w:proofErr w:type="gramStart"/>
                  <w:r w:rsidRPr="001F5B5C">
                    <w:rPr>
                      <w:rFonts w:ascii="Times New Roman" w:eastAsia="Times New Roman" w:hAnsi="Times New Roman"/>
                      <w:sz w:val="20"/>
                      <w:szCs w:val="20"/>
                    </w:rPr>
                    <w:t>a decreased</w:t>
                  </w:r>
                  <w:proofErr w:type="gramEnd"/>
                  <w:r w:rsidRPr="001F5B5C">
                    <w:rPr>
                      <w:rFonts w:ascii="Times New Roman" w:eastAsia="Times New Roman" w:hAnsi="Times New Roman"/>
                      <w:sz w:val="20"/>
                      <w:szCs w:val="20"/>
                    </w:rPr>
                    <w:t xml:space="preserve"> magnesium sensitivity compared with the WT receptors.</w:t>
                  </w:r>
                  <w:r w:rsidRPr="001F5B5C">
                    <w:rPr>
                      <w:rFonts w:ascii="Times New Roman" w:eastAsia="Times New Roman" w:hAnsi="Times New Roman"/>
                      <w:sz w:val="20"/>
                      <w:szCs w:val="20"/>
                    </w:rPr>
                    <w:br/>
                    <w:t>Application of the neurosteroid pregnenolone sulfate caused potentiation in 1-D552E and 1-G815R mutant receptors. Memantine application successfully inhibited the 1-M641I mutants. The results raise the possibility that an NMDAR antagonist or potentiator might be useful in correcting NMDAR dysfunction, whether hyperfunction or hypofunction. This in turn could decrease seizure burden in these patients.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2367506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Geochemistry before biochemistry: Plausible prebiotic reaction spaces involving mineral surfaces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Aaron Pital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acpital@gmail.com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Aaron Pital</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Kennesaw State University, Snellville,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the search for systems from which the complexities of life may have emerged, mineral surfaces possess attributes which make them enticing candidates for inclusion in an abiotic reaction scheme. Chiral selection by mineral surfaces may have led to the single-handedness seen in amino acids, for example. Extending the general concept of these surfaces having useful activity to specific experimental testing requires a selection of appropriate minerals and reaction conditions such as pH. We present possible combinations of mineral surfaces, reactants, and reaction conditions likely to be most amenable to experimental probes based on affinities developed by differing points of zero charge, isoelectric points, and pH gradients.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2367530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Engineering a Mutation in the Heparin Binding Pocket of the Human Fibroblast Growth Factor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Roshni Patel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rjp006@uark.edu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Roshni Patel</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Biochemistry, University of Arkansas, Fayetteville,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Fibroblast growth factors (FGF) are proteins that are found in mammals and play a significant role in mitogenesis, angiogenesis, differentiation, organogenesis, and tissue repair. In summary, their main functionality is involved in cell division and proliferation. Because FGF plays such a vital role in cell proliferation, it is involved in wound healing and injuries. FGF is known to bind to heparin with strong affinity to show its biological activity.</w:t>
                  </w:r>
                  <w:r w:rsidRPr="001F5B5C">
                    <w:rPr>
                      <w:rFonts w:ascii="Times New Roman" w:eastAsia="Times New Roman" w:hAnsi="Times New Roman"/>
                      <w:sz w:val="20"/>
                      <w:szCs w:val="20"/>
                    </w:rPr>
                    <w:br/>
                    <w:t xml:space="preserve">FGF has many implications to it since it is heavily involved in wound </w:t>
                  </w:r>
                  <w:proofErr w:type="gramStart"/>
                  <w:r w:rsidRPr="001F5B5C">
                    <w:rPr>
                      <w:rFonts w:ascii="Times New Roman" w:eastAsia="Times New Roman" w:hAnsi="Times New Roman"/>
                      <w:sz w:val="20"/>
                      <w:szCs w:val="20"/>
                    </w:rPr>
                    <w:t>healing,</w:t>
                  </w:r>
                  <w:proofErr w:type="gramEnd"/>
                  <w:r w:rsidRPr="001F5B5C">
                    <w:rPr>
                      <w:rFonts w:ascii="Times New Roman" w:eastAsia="Times New Roman" w:hAnsi="Times New Roman"/>
                      <w:sz w:val="20"/>
                      <w:szCs w:val="20"/>
                    </w:rPr>
                    <w:t xml:space="preserve"> however, FGF does not remain active for very long when it is not bound to heparin. With this in mind, this research project focuses on increasing the half-life of FGF while also maintaining its stability.</w:t>
                  </w:r>
                  <w:r w:rsidRPr="001F5B5C">
                    <w:rPr>
                      <w:rFonts w:ascii="Times New Roman" w:eastAsia="Times New Roman" w:hAnsi="Times New Roman"/>
                      <w:sz w:val="20"/>
                      <w:szCs w:val="20"/>
                    </w:rPr>
                    <w:br/>
                    <w:t>Residue R136 of FGF has been shown to be of great interest because making a single point mutation around this residue can allow for an increase in stability of FGF. R136 is part of a specific amino acid sequence, LVPRGS, which is recognized by thrombin as a cleavage site. A secondary amino acid sequence, RGPRTH, is also used to compare with the amino acid sequence recognized by thrombin because both of these sequences have similar peptide bonds. In the secondary amino acid sequence of FGF, the arginine and threonine bond displays great sensitivity. Due to this reason, the specific mutation conducted in this experiment will be done on residue T137E. Threonine will be mutated to glutamic acid, which is negatively charged, and this single point mutation can allow further detailed biophysical analysis of the stability and function of FGF.</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Antimicrobial Properties of Gallium against </w:t>
                  </w:r>
                  <w:r w:rsidRPr="001F5B5C">
                    <w:rPr>
                      <w:rFonts w:ascii="Times New Roman" w:eastAsia="Times New Roman" w:hAnsi="Times New Roman"/>
                      <w:b/>
                      <w:bCs/>
                      <w:i/>
                      <w:iCs/>
                      <w:sz w:val="20"/>
                      <w:szCs w:val="20"/>
                    </w:rPr>
                    <w:t>Bacillus subtilis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Katherine Albanese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albaki12@wfu.edu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Katherine Albanese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Zhong Fang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Patricia C. Dos Santos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George L. Donati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Wake Forest University, Winston Salem,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major challenge in health care is the effective treatment of microbial infections. This presents a serious problem since hospital-acquired infections are often caused by bacterial strains resistant to currently available antibiotics. Therefore, there is an urgent need to identify new targets suitable for the development of the next generation of antibiotics. One strategy is to uncover biochemical processes essential to the life and virulence of pathogenic bacteria</w:t>
                  </w:r>
                  <w:r w:rsidRPr="001F5B5C">
                    <w:rPr>
                      <w:rFonts w:ascii="Times New Roman" w:eastAsia="Times New Roman" w:hAnsi="Times New Roman"/>
                      <w:i/>
                      <w:iCs/>
                      <w:sz w:val="20"/>
                      <w:szCs w:val="20"/>
                    </w:rPr>
                    <w:t>.</w:t>
                  </w:r>
                  <w:r w:rsidRPr="001F5B5C">
                    <w:rPr>
                      <w:rFonts w:ascii="Times New Roman" w:eastAsia="Times New Roman" w:hAnsi="Times New Roman"/>
                      <w:sz w:val="20"/>
                      <w:szCs w:val="20"/>
                    </w:rPr>
                    <w:t xml:space="preserve"> Iron (Fe) and Fe-S metabolism might offer an excellent target for metabolic intervention because they are both essential and vulnerable to stresses faced by the bacterium during infection. While free Fe levels are intrinsically low </w:t>
                  </w:r>
                  <w:r w:rsidRPr="001F5B5C">
                    <w:rPr>
                      <w:rFonts w:ascii="Times New Roman" w:eastAsia="Times New Roman" w:hAnsi="Times New Roman"/>
                      <w:i/>
                      <w:iCs/>
                      <w:sz w:val="20"/>
                      <w:szCs w:val="20"/>
                    </w:rPr>
                    <w:t>in vivo</w:t>
                  </w:r>
                  <w:r w:rsidRPr="001F5B5C">
                    <w:rPr>
                      <w:rFonts w:ascii="Times New Roman" w:eastAsia="Times New Roman" w:hAnsi="Times New Roman"/>
                      <w:sz w:val="20"/>
                      <w:szCs w:val="20"/>
                    </w:rPr>
                    <w:t xml:space="preserve"> for most organisms, Fe is required for growth, enzyme function, and plays a critical role in oxidative stress defense. Interestingly, gallium (Ga) has been proposed as a promising antimicrobial agent due to its similarities in atomic structure with iron. However, the mechanisms by which Ga interferes with Fe metabolism have not yet been fully understood. We hypothesized that Ga causes growth inhibition by disrupting Fe-S clusters and thiol-redox homeostasis in bacteria. In this study, the possible mechanisms of gallium’s antimicrobial efficiency were investigated through standard growth curves, Fe-S enzyme activity assays, WCAES and ICP-OES analysis, and by a redox sensitive bioprobe roGPF in </w:t>
                  </w:r>
                  <w:r w:rsidRPr="001F5B5C">
                    <w:rPr>
                      <w:rFonts w:ascii="Times New Roman" w:eastAsia="Times New Roman" w:hAnsi="Times New Roman"/>
                      <w:i/>
                      <w:iCs/>
                      <w:sz w:val="20"/>
                      <w:szCs w:val="20"/>
                    </w:rPr>
                    <w:t>Bacillus subtilis</w:t>
                  </w:r>
                  <w:r w:rsidRPr="001F5B5C">
                    <w:rPr>
                      <w:rFonts w:ascii="Times New Roman" w:eastAsia="Times New Roman" w:hAnsi="Times New Roman"/>
                      <w:sz w:val="20"/>
                      <w:szCs w:val="20"/>
                    </w:rPr>
                    <w:t xml:space="preserve">. Growth inhibition was caused by low micromolar concentrations of Ga and suppressed upon addition of Fe to the medium. Supporting our hypothesis, Ga challenge led to lower activity levels of the Fe-S enzymes aconitase and glutamate synthase, but did not affect the activity of non-Fe-S enzymes fumarase and malate dehydrogenase. Furthermore, </w:t>
                  </w:r>
                  <w:r w:rsidRPr="001F5B5C">
                    <w:rPr>
                      <w:rFonts w:ascii="Times New Roman" w:eastAsia="Times New Roman" w:hAnsi="Times New Roman"/>
                      <w:i/>
                      <w:iCs/>
                      <w:sz w:val="20"/>
                      <w:szCs w:val="20"/>
                    </w:rPr>
                    <w:t>B. subtilis</w:t>
                  </w:r>
                  <w:r w:rsidRPr="001F5B5C">
                    <w:rPr>
                      <w:rFonts w:ascii="Times New Roman" w:eastAsia="Times New Roman" w:hAnsi="Times New Roman"/>
                      <w:sz w:val="20"/>
                      <w:szCs w:val="20"/>
                    </w:rPr>
                    <w:t xml:space="preserve"> strains lacking the low molecular weight thiol bacillithiol are more sensitive to Ga. Preliminary analysis using roGFP suggests that lack of bacillithiol does not affect the thiol redox homeostasis, but it impairs the activity of Fe-S enzymes, potentially through its participation on Fe mobilization to the biogenesis and/or repair of Fe-S clusters. WCAES and ICP-OES analysis has thus far shown that addition of sub-lethal concentrations of Ga causes uneven cellular localization, and Ga challenge alters the content and distribution of Fe and other metals.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8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2367544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Understanding the role of Glycine134 in Heparin Binding of FGF-1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Adam Burroughs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awburrou@uark.edu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Adam W. Burroughs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Biochemistry, University of Arkansas, Hot Springs,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Human acidic fibroblast growth factor 1 (FGF-1) is a potent modulator of cell survival and is seemingly universal in various physiological processes. Though potent, FGF-1 unbound to heparin is known to exhibit a poor thermal stability and a relatively short in vivo half-life. Much is known about the structure and relation of FGF-1 with heparin yet there is still unknown information regarding the exact role of heparin in stabilizing FGF-1. Thus, my aim is to mutate wild type FGF-1’s 134</w:t>
                  </w:r>
                  <w:r w:rsidRPr="001F5B5C">
                    <w:rPr>
                      <w:rFonts w:ascii="Times New Roman" w:eastAsia="Times New Roman" w:hAnsi="Times New Roman"/>
                      <w:sz w:val="20"/>
                      <w:szCs w:val="20"/>
                      <w:vertAlign w:val="superscript"/>
                    </w:rPr>
                    <w:t>th</w:t>
                  </w:r>
                  <w:r w:rsidRPr="001F5B5C">
                    <w:rPr>
                      <w:rFonts w:ascii="Times New Roman" w:eastAsia="Times New Roman" w:hAnsi="Times New Roman"/>
                      <w:sz w:val="20"/>
                      <w:szCs w:val="20"/>
                    </w:rPr>
                    <w:t xml:space="preserve"> amino acid, glycine, into glutamic acid to understand the overall interaction between heparin and mutant form of FGF-1. A mutation of an amino acid in this important region could redefine the stability of FGF-1 bound to heparin; yet maintaining FGFs inherent mitogenic activity. FGF-1G134E mutant protein would be subjected to detailed biophysical characterization. Results of the mutant characterization will be discussed in greater detail.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2367545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Modulating the mitogenic activity of the fibroblast growth factor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Joshua Anderson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jla011@uark.edu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Joshua L. Anderson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University of Arkansas, Fayetteville,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Joshua Anderson, Srinivas Jayanthi &amp; Thallapuaranm Krishnaswamy Suresh Kumar</w:t>
                  </w:r>
                  <w:r w:rsidRPr="001F5B5C">
                    <w:rPr>
                      <w:rFonts w:ascii="Times New Roman" w:eastAsia="Times New Roman" w:hAnsi="Times New Roman"/>
                      <w:sz w:val="20"/>
                      <w:szCs w:val="20"/>
                    </w:rPr>
                    <w:br/>
                    <w:t>University of Arkansas, Fayetteville, AR</w:t>
                  </w:r>
                  <w:proofErr w:type="gramStart"/>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br/>
                    <w:t>Department of Chemistry and Biochemistry</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ABSTRACT: Human acidic fibroblast growth factor (FGF-1) is one of the broadest known mitogens, with the ability to activate the entire range of fibroblast growth factor receptors (FGFR). Through this interaction, FGF-1 is involved in initiating various processes such as organogenesis, angiogenesis, tissue repair, and differentiation. It has been shown that FGF-1 is an inherently unstable molecule, with a relatively short half-life and poor thermal stability. FGF-1 is stabilized in vivo by interacting with heparin; this interaction enhances the interaction of FGF-1 with its receptor, shields the protein from proteolytic degradation, and thermally stabilizes the molecule. The 84</w:t>
                  </w:r>
                  <w:r w:rsidRPr="001F5B5C">
                    <w:rPr>
                      <w:rFonts w:ascii="Times New Roman" w:eastAsia="Times New Roman" w:hAnsi="Times New Roman"/>
                      <w:sz w:val="20"/>
                      <w:szCs w:val="20"/>
                      <w:vertAlign w:val="superscript"/>
                    </w:rPr>
                    <w:t>th</w:t>
                  </w:r>
                  <w:r w:rsidRPr="001F5B5C">
                    <w:rPr>
                      <w:rFonts w:ascii="Times New Roman" w:eastAsia="Times New Roman" w:hAnsi="Times New Roman"/>
                      <w:sz w:val="20"/>
                      <w:szCs w:val="20"/>
                    </w:rPr>
                    <w:t xml:space="preserve"> position in the wild-type FGF-1 molecule contains an aspartic acid residue. It has been shown that upon interaction with heparin, this residue shifts from ~10 to ~7 angstroms from heparin. Inducing an aspartic acid to arginine mutation at the 84</w:t>
                  </w:r>
                  <w:r w:rsidRPr="001F5B5C">
                    <w:rPr>
                      <w:rFonts w:ascii="Times New Roman" w:eastAsia="Times New Roman" w:hAnsi="Times New Roman"/>
                      <w:sz w:val="20"/>
                      <w:szCs w:val="20"/>
                      <w:vertAlign w:val="superscript"/>
                    </w:rPr>
                    <w:t>th</w:t>
                  </w:r>
                  <w:r w:rsidRPr="001F5B5C">
                    <w:rPr>
                      <w:rFonts w:ascii="Times New Roman" w:eastAsia="Times New Roman" w:hAnsi="Times New Roman"/>
                      <w:sz w:val="20"/>
                      <w:szCs w:val="20"/>
                    </w:rPr>
                    <w:t xml:space="preserve"> position in the primary structure of FGF-1 via site-directed mutagenesis and studying the effects of this mutation on the structure, stability, and function retention of this mutant versus the wild-type form, including its interaction with heparin, to yield information regarding the role of this position and the structure to function relationship of the molecule as a whole is the fundamental intention of this study. Our study employs limited trypsin digestion, differential scanning calorimetry, far UV-circular dichroism spectroscopy, 8-anilinonaphthalene-1-sulfonic acid binding assay, and multidimensional NMR spectroscopy techniques on the D84R mutant.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2367567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Post-Translational Modifications of FUN30 and its Role in Chromatin Remodeling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Jacob Alewine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talewine@erskine.edu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Jacob T. Alewine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Erskine College, Donalds,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Post-translational modifications regulate the activity of many molecular pathways that occur in the cell. Conserved from yeast to human, Fun30, an ATP-dependent chromatin-remodeling enzyme, has been previously implicated in DNA repair, DNA replication, heterochromatin silencing and transcription. Powered by ATP hydrolysis, Fun 30 acts by “remodeling” the position of the nucleosome in cis or trans configuration; however, the regulation for this activity is unknown. Evidence suggests that post-translational modifications, such as sumoylation, aid in the regulation of Fun30 and other similar proteins. SUMO (small ubiquitin-related modifier) proteins are often conjugated to proteins that are involved in transcription, chromosome segregation, and DNA repair. SUMO conjugation and ligation involve a complex pathway that includes “helper” proteins that bind SUMO to its substrate. These post-translational modifications, like sumoylation, regulate the chromatin remodeling function of Fun30, thus contributing to the mechanism in which Fun 30 slides nucleosomes rendering DNA for transcriptional repression. Post-translation modifications regulate molecular activities and pathways used to carry out cellular functions essential for their vitality.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2367635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Dendrimer-encapsulated Mono- and Bimetallic Cu and Ni Nanoparticles and Investigation of their Antimicrobial Activity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Demetrius Finley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DFinley8190@mytu.tuskegee.edu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Demetrius Finley</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Md Ariful Ashan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Aiesha Ethridge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Willard E. Collier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Michael L. Curry</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Tuskegee University, Tuskegee, AL, United States. </w:t>
                  </w:r>
                  <w:r w:rsidRPr="001F5B5C">
                    <w:rPr>
                      <w:rFonts w:ascii="Times New Roman" w:eastAsia="Times New Roman" w:hAnsi="Times New Roman"/>
                      <w:sz w:val="20"/>
                      <w:szCs w:val="20"/>
                    </w:rPr>
                    <w:br/>
                    <w:t xml:space="preserve">2. Department of Materials Science and Engineering, Tuskegee University, Tuskegee, AL, United States. </w:t>
                  </w:r>
                  <w:r w:rsidRPr="001F5B5C">
                    <w:rPr>
                      <w:rFonts w:ascii="Times New Roman" w:eastAsia="Times New Roman" w:hAnsi="Times New Roman"/>
                      <w:sz w:val="20"/>
                      <w:szCs w:val="20"/>
                    </w:rPr>
                    <w:br/>
                    <w:t xml:space="preserve">3. Department of Chemical Engineering, Tuskegee University, Tuskegee,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Nanoparticles are increasingly used in a wide variety of applications in biomedical, optical, and electronic fields. However, the behavior of nanoparticles toward biological systems is not well understood and possibly poses a serious health problem for our communities and environment. Our research for summer undergraduate students project explored the synthesis, characterization, and extraction of monometallic (Cu, Ni) and bimetallic (CuNi) nanoparticles and investigated their toxicity towards gram-negative and gram-positive bacteria. In short, metallic nanoparticles were formed through chemical reduction with sodium borohydride in the presence of a generation four polyamidoamine (PAMAM) dendrimer. Using x-ray diffraction and transmission electron microscopy, it was determined that the dendrimer-formed Cu, Ni, and CuNi nanoparticles exhibit a face-centered cubic crystal structure with an average particle diameter that is &lt; 10nm. Paper disk diffusion assay test revealed that both Cu and Ni nanoparticles show toxicity towards both gram-negative and gram-positive bacteria. However, no antimicrobial activity “toxicity” is observed for the CuNi bimetallic counterpart when tested against both gram-negative and gram-positive bacteria. This phenomenon is potentially attributed to the observation of a polymeric “dendrimer” corona around the CuNi particle surface during the growth process.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2367721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Importance of Ile716 in BF Polymerase Toward the Mutagenic Potential of 8-Oxo-2’-deoxyguaosine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Rachel Gilbert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rachel.gilbert@richmond.edu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Rachel Gilbert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Richmond, Richmond,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8-oxo-2’-deoxyguanosine (OdG) is a promutagic DNA lesion that arises from exposure of 2’- deoxyguanosine (dG) to reactive oxygen species (ROS) like peroxides, hydroxy radicals, and superoxides. ROS are produced by environmental carcinogens, exposure to radiation, and even during cellular respiration. OdG lesions are very common in mammalian cells and can base pair to both 2’-deoxycytidine (dC) and 2’-deoxyadenosine (dA), the latter of which can result in dG → thymidine transversions. These mutations are believed to be responsible for the link between OdG and aging, and diseases like cancer, lupus, and arthritis. To gain insight into the preference for dCTP or dATP incorporation opposite OdG, and thereby the mutagenic potential of OdG, the large fragment of the A-family polymerase I from the bacterium </w:t>
                  </w:r>
                  <w:r w:rsidRPr="001F5B5C">
                    <w:rPr>
                      <w:rFonts w:ascii="Times New Roman" w:eastAsia="Times New Roman" w:hAnsi="Times New Roman"/>
                      <w:i/>
                      <w:iCs/>
                      <w:sz w:val="20"/>
                      <w:szCs w:val="20"/>
                    </w:rPr>
                    <w:t xml:space="preserve">Bacillus Stearothermophilus </w:t>
                  </w:r>
                  <w:r w:rsidRPr="001F5B5C">
                    <w:rPr>
                      <w:rFonts w:ascii="Times New Roman" w:eastAsia="Times New Roman" w:hAnsi="Times New Roman"/>
                      <w:sz w:val="20"/>
                      <w:szCs w:val="20"/>
                    </w:rPr>
                    <w:t>(BF) was studied. Previous studies have suggested that clashing between the active site Ile716 and either the C8-position of OdG during dCTP incorporation, or the C2-position of OdG during dATP incorporation can heavily influence the mutagenic potential of OdG. To further test the importance of these clashing interactions, the activity of dCTP and dATP incorporation opposite OdG and seven of its analogues were compared between wild type BF, I716M BF, and I716A BF.</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2367786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Production of Phenolic Compounds by </w:t>
                  </w:r>
                  <w:r w:rsidRPr="001F5B5C">
                    <w:rPr>
                      <w:rFonts w:ascii="Times New Roman" w:eastAsia="Times New Roman" w:hAnsi="Times New Roman"/>
                      <w:i/>
                      <w:iCs/>
                      <w:sz w:val="20"/>
                      <w:szCs w:val="20"/>
                    </w:rPr>
                    <w:t>Brettanomyces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Dakota McMahan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dakota.mcmahan@my.maryvillecollege.edu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Dakota M. McMahan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Nathan Duncan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Jennifer Brigati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Natural Sciences, Maryville College, Knoxville,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Brettanomyces is a genus of yeast that is a common contaminant in commercial fermentation processes, such as brewing and winemaking. Brettanomyces produces the phenolic compounds 4-ethylphenol and 4-ethylguaiacol, which produce off-flavors, such as a medicinal taste, smoky flavors, and the taste of barnyards. In this experiment, broths containing four different types of sugar, including glucose, maltose, lactose, and sucrose, were inoculated with Brettanomyces and allowed to ferment. As a control, the common yeast used in fermentation, Saccharomyces cerevisiae, was subjected to fermentation in broths with the same four sugars. The purpose of this experiment was to determine if there was a difference in 4-ethylphenol and 4-ethylguaiacol production, based on the sugar used by Brettanomyces for fermentation, compared to that of normal fermentation using Sacchoramyces cerevisiae, as well as to determine at which point during fermentation the phenolic compounds were produced. The results of the experiment were gathered by high pressure liquid chromatography, and a measurement of the amount of 4-ethylphenol and 4-ethylguaiacol was taken in order to determine which type of sugar Brettanomyces would use during fermentation in order to produce the phenolic compounds. The data was also collected over time, which was used to determine at which point in fermentation the phenolic compounds were produced.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2367824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DLS characterization of netropsin aggregates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Ryan Alexander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ryan.alexander2@furman.edu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Ryan Alexander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Caroline Blake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Karen L. Buchmueller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Hendersonville,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Small molecules have been developed to regulate a variety of biological processes. Many of these small molecules aggregate in aqueous solutions and a substantial fraction act as aggregate-based inhibitors. Therefore, aggregation studies are an important step in the evaluation of small molecules. The focus of this study is to optimize preparation protocol and data collection regarding Dynamic Light Scattering measurements of small molecules that were developed to target DNA. Initially, DLS has been utilized to assess the behavior of Netropsin, a </w:t>
                  </w:r>
                  <w:proofErr w:type="gramStart"/>
                  <w:r w:rsidRPr="001F5B5C">
                    <w:rPr>
                      <w:rFonts w:ascii="Times New Roman" w:eastAsia="Times New Roman" w:hAnsi="Times New Roman"/>
                      <w:sz w:val="20"/>
                      <w:szCs w:val="20"/>
                    </w:rPr>
                    <w:t>polyamide, that</w:t>
                  </w:r>
                  <w:proofErr w:type="gramEnd"/>
                  <w:r w:rsidRPr="001F5B5C">
                    <w:rPr>
                      <w:rFonts w:ascii="Times New Roman" w:eastAsia="Times New Roman" w:hAnsi="Times New Roman"/>
                      <w:sz w:val="20"/>
                      <w:szCs w:val="20"/>
                    </w:rPr>
                    <w:t xml:space="preserve"> binds AT-rich DNA.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2367906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Interaction of a novel mitochondrial protein, 4-nitrophenylphosphatase domain and non-neuronal SNAP25-like protein homolog 1 (NIPSNAP1) with NAD and NADH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Jay Yarbro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jyarbro@memphis.edu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Jay M. Yarbro</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Samantha B. Gacasan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Jesse Ziebarth</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Yongmei Wang</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Abby L. Parrill-Baker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Ramin Homayouni</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The University of Memphis, Memphis, TN, United States. </w:t>
                  </w:r>
                  <w:r w:rsidRPr="001F5B5C">
                    <w:rPr>
                      <w:rFonts w:ascii="Times New Roman" w:eastAsia="Times New Roman" w:hAnsi="Times New Roman"/>
                      <w:sz w:val="20"/>
                      <w:szCs w:val="20"/>
                    </w:rPr>
                    <w:br/>
                    <w:t xml:space="preserve">2. University of Memphis, Arlington, TN, United States. </w:t>
                  </w:r>
                  <w:r w:rsidRPr="001F5B5C">
                    <w:rPr>
                      <w:rFonts w:ascii="Times New Roman" w:eastAsia="Times New Roman" w:hAnsi="Times New Roman"/>
                      <w:sz w:val="20"/>
                      <w:szCs w:val="20"/>
                    </w:rPr>
                    <w:br/>
                    <w:t xml:space="preserve">3. Chemistry, University of Memphis, Memphis, TN, United States. </w:t>
                  </w:r>
                  <w:r w:rsidRPr="001F5B5C">
                    <w:rPr>
                      <w:rFonts w:ascii="Times New Roman" w:eastAsia="Times New Roman" w:hAnsi="Times New Roman"/>
                      <w:sz w:val="20"/>
                      <w:szCs w:val="20"/>
                    </w:rPr>
                    <w:br/>
                    <w:t xml:space="preserve">4. Department of Chemistry, University of Memphis,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mitochondrial protein NIPSNAP1 (4-nitrophenylphosphatase domain and non-neuronal SNAP25-like protein homolog 1) is a member of a highly conserved family of proteins with unknown functions. Previous studies in our group have shown that NIPSNAP1 expression is highly correlated with several mitochondrial NAD-dependent dehydrogenases. Using blue native polyacrylamide gel electrophoresis of purified brain mitochondria, we found that NIPSNAP1 exists in large protein complexes. Using a structure based ligand screening tool called </w:t>
                  </w:r>
                  <w:proofErr w:type="gramStart"/>
                  <w:r w:rsidRPr="001F5B5C">
                    <w:rPr>
                      <w:rFonts w:ascii="Times New Roman" w:eastAsia="Times New Roman" w:hAnsi="Times New Roman"/>
                      <w:sz w:val="20"/>
                      <w:szCs w:val="20"/>
                    </w:rPr>
                    <w:t>FINDSITE,</w:t>
                  </w:r>
                  <w:proofErr w:type="gramEnd"/>
                  <w:r w:rsidRPr="001F5B5C">
                    <w:rPr>
                      <w:rFonts w:ascii="Times New Roman" w:eastAsia="Times New Roman" w:hAnsi="Times New Roman"/>
                      <w:sz w:val="20"/>
                      <w:szCs w:val="20"/>
                    </w:rPr>
                    <w:t xml:space="preserve"> we found that the C-terminal region of NIPSNAP1 may bind to NADH and NADPH. In biochemical pull-down experiments using immobilized NADH beads, we found that purified NIPSNAP1 protein directly binds to NADH. In the present study, circular dichroism (CD) spectroscopy was used to verify the interaction between purified NIPSNAP1 and NAD+. We found a significant alteration of the near-UV CD spectrum of NIPSNAP1 in the presence of NAD+. Taken together, our results suggest that NIPSNAP1 may directly bind to NAD+ and possibly function as a subunit of different mitochondrial dehydrogenase complexes.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2367943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Antimicrobial Properties of Extracts from </w:t>
                  </w:r>
                  <w:r w:rsidRPr="001F5B5C">
                    <w:rPr>
                      <w:rFonts w:ascii="Times New Roman" w:eastAsia="Times New Roman" w:hAnsi="Times New Roman"/>
                      <w:i/>
                      <w:iCs/>
                      <w:sz w:val="20"/>
                      <w:szCs w:val="20"/>
                    </w:rPr>
                    <w:t>Hedera helix</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Caitlin Jennings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caitlin.jennings@my.maryvillecollege.edu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Caitlin Jennings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Nathan Duncan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Angelia D. Gibson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Maryville College, Maryville, TN, United States. </w:t>
                  </w:r>
                  <w:r w:rsidRPr="001F5B5C">
                    <w:rPr>
                      <w:rFonts w:ascii="Times New Roman" w:eastAsia="Times New Roman" w:hAnsi="Times New Roman"/>
                      <w:sz w:val="20"/>
                      <w:szCs w:val="20"/>
                    </w:rPr>
                    <w:br/>
                    <w:t xml:space="preserve">2. Division of Natural Sciences, Maryville College, Maryville, TN, United States. </w:t>
                  </w:r>
                  <w:r w:rsidRPr="001F5B5C">
                    <w:rPr>
                      <w:rFonts w:ascii="Times New Roman" w:eastAsia="Times New Roman" w:hAnsi="Times New Roman"/>
                      <w:sz w:val="20"/>
                      <w:szCs w:val="20"/>
                    </w:rPr>
                    <w:br/>
                    <w:t xml:space="preserve">3. Natural Sciences, Maryville College, Knoxville,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Antibiotic resistance is becoming a significant problem within the health field. With more microbes developing resistance to many of the first-line antibiotics, there is a need to find novel compounds that can be used against these microbes. Plants are a viable source of possible antimicrobials. </w:t>
                  </w:r>
                  <w:r w:rsidRPr="001F5B5C">
                    <w:rPr>
                      <w:rFonts w:ascii="Times New Roman" w:eastAsia="Times New Roman" w:hAnsi="Times New Roman"/>
                      <w:i/>
                      <w:iCs/>
                      <w:sz w:val="20"/>
                      <w:szCs w:val="20"/>
                    </w:rPr>
                    <w:t>Hedera helix</w:t>
                  </w:r>
                  <w:r w:rsidRPr="001F5B5C">
                    <w:rPr>
                      <w:rFonts w:ascii="Times New Roman" w:eastAsia="Times New Roman" w:hAnsi="Times New Roman"/>
                      <w:sz w:val="20"/>
                      <w:szCs w:val="20"/>
                    </w:rPr>
                    <w:t xml:space="preserve">, also known as English ivy, is an invasive species that has reported medicinal uses, including antimicrobial activity. The purpose of this study was to test the antimicrobial properties of extracts from </w:t>
                  </w:r>
                  <w:r w:rsidRPr="001F5B5C">
                    <w:rPr>
                      <w:rFonts w:ascii="Times New Roman" w:eastAsia="Times New Roman" w:hAnsi="Times New Roman"/>
                      <w:i/>
                      <w:iCs/>
                      <w:sz w:val="20"/>
                      <w:szCs w:val="20"/>
                    </w:rPr>
                    <w:t>Hedera helix</w:t>
                  </w:r>
                  <w:r w:rsidRPr="001F5B5C">
                    <w:rPr>
                      <w:rFonts w:ascii="Times New Roman" w:eastAsia="Times New Roman" w:hAnsi="Times New Roman"/>
                      <w:sz w:val="20"/>
                      <w:szCs w:val="20"/>
                    </w:rPr>
                    <w:t xml:space="preserve"> against common strains of pathogenic microbes. A crude extract was obtained from freshly picked ivy by stirring in 80% methanol for 24 hours, filtering out the solids, and evaporating off the methanol. The crude extract was then dissolved into one of four different solvents to create fractionated extracts. The fractions were centrifuged to remove any undissolved particulate. The fractionated extracts were then tested for antimicrobial properties against various microbes.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2368033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Thermodynamic contributions of the inhibition of AT hooks by netropsin</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Ralph White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ralph.white@furman.edu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Ralph White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Josh Schoen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Clarisse Quandt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Annelise H. Gorensek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Karen L. Buchmueller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High Mobility Group A proteins influence cellular growth through activating gene transcription factors in early human development and activation of these proteins in adults is linked to cancer metastasis. One way to prevent continued activation of these genes is to target the DNA with small molecules that inhibit HMGA binding. Netropsin is being used as a model compound to understand the interplay between the DNA binding motifs (AT hooks) of HMGA and small molecules for DNA binding. The thermodynamic contributions of the binding of netropsin and an AT hook containing peptide to AT rich DNA is being studied by isothermal titration calorimetry and differential scanning calorimetry.</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59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2368053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Development of a PCR-based system to study HMGA disruption</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Haley Stubbs | Karen Buchmueller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haley.stubbs@furman.edu | karen.buchmueller@furman.edu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Haley Stubbs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Daniela Mesa Sanchez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Lake Rabenold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Karen L. Buchmueller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Hendersonville,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High mobility group A proteins are a family of proteins that help facilitate transcription of a broad array of genes and cause metastasis when over expressed in adults. The proteins have two to three AT hook motifs that bind to AT rich sections in the minor groove of DNA. The binding affinity of each successive hook increases affinity of the entire protein. Therefore, sterically hindering the binding of the first hook may prevent the whole protein from binding. To further understand the cooperative binding of HMGA through the AT hooks, DNA containing modified adenine nucleotides were synthesized by PCR and reacted with groups. By selectively and sterically hindering the AT hook the binding of HMGA to the successive AT hooks can be further studied.</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2368071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Probing the stability and ligand binding of heme proteins 'mineralized' within the ZIF-8 metal organic framework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Dylan Grassie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grassied@mail.usf.edu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Dylan Grassie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Christopher McKeithan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Randy W. Larsen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South Florida, Tampa,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ability to encapsulate proteins in solid state materials while retaining physiological function has been a long standing goal in biotechnology. Numerous porous materials have been explored including sol gels, Nafion membranes, hydrogels, etc. More recently, metal organic frameworks (MOFs) have been explored as platforms for the encapsulation/embedding of bioactive molecules. Recent studies in this area have demonstrated the ‘mineralization’ of heme proteins in the zeolite like MOF, ZIF-8 that may have applications in bio-inspired protein delivery systems. Here the effects of mineralization on the conformation and ligand binding associated with two heme proteins: Cytochrome C (Cc) and Myoglobin (Mb) have been examined using optical spectroscopy. In the case of mineralized Cc, the Soret maximum is observed at 409nm for the oxidized protein and shifts to 416nm similar to solution (406 nm and 415nm, respectively). However, the absorption spectrum of the ferrous protein lacks the 550 nm band characteristic of the six coordinate met80 bound heme. In addition, in the presence of CO the Soret max shifts to 414 nm and two bands appear in the visible region indicates destabilization of the heme-methionine bond in the mineralized protein. Horse heart Mb has also been mineralized in ZIF8 exhibiting a Soret maximum at 398nm (met Mb) which shifts to 404nm upon reduction. These values are significantly different than solution (408 nm for metMb and 430 nm for deoxy Mb). After CO is introduced to the mineralized protein the Soret peak narrows and red shifts to 422nm.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2368202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Can Native Enzyme Conformation Act As A Template For Refolding of RNase 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Heather Bogy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Hkbogy@uark.edu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Heather K. Bogy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Srinivas Jayanthi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Suresh K. Thallapuranam</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Biochemistry Room 235, University of Arkansas , Fayetteville, AR, United States. </w:t>
                  </w:r>
                  <w:r w:rsidRPr="001F5B5C">
                    <w:rPr>
                      <w:rFonts w:ascii="Times New Roman" w:eastAsia="Times New Roman" w:hAnsi="Times New Roman"/>
                      <w:sz w:val="20"/>
                      <w:szCs w:val="20"/>
                    </w:rPr>
                    <w:br/>
                    <w:t xml:space="preserve">2. Chemistry and Biochemistry, University of Arkansas at Fayetteville, Fayetteville,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Protein aggregation is a very important biological process that is observed in several neurological diseases. Misfolded proteins potentially clump together and become extremely toxic to the cell. This misfolding is a cause of many degenerative diseases, such as Parkinson’s disease, Alzheimer’s disease, and Huntington’s disease. In this study, we are hypothesizing that the presence of native folding protein might assist the misfolded proteins to gain structure similar to native state. Ribonuclease A (RNase A), an enzyme that catalyzes the hydrolysis of RNA by breaking a P-O bond, was used as a model protein. Using various in vitro biophysical experiments, we examine the effect of native template on the refolding denatured and reduced RNase A. Results of this study will be described in greater detail.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2368260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The parial purification of a polyphenol oxidase from </w:t>
                  </w:r>
                  <w:r w:rsidRPr="001F5B5C">
                    <w:rPr>
                      <w:rFonts w:ascii="Times New Roman" w:eastAsia="Times New Roman" w:hAnsi="Times New Roman"/>
                      <w:i/>
                      <w:iCs/>
                      <w:sz w:val="20"/>
                      <w:szCs w:val="20"/>
                    </w:rPr>
                    <w:t>Scorzonera hispanica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Ashley Allison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aballison@mail.lipscomb.edu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Ashley Allison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 Kent Clinger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Lipscomb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Polyphenol oxidase is a copper-binding enzyme that is responsible for catalyzing the oxidation of monophenols to ortho-diphenols and ortho-dihydroxyphenols to ortho-quinones. This enzyme was partially purified from </w:t>
                  </w:r>
                  <w:r w:rsidRPr="001F5B5C">
                    <w:rPr>
                      <w:rFonts w:ascii="Times New Roman" w:eastAsia="Times New Roman" w:hAnsi="Times New Roman"/>
                      <w:i/>
                      <w:iCs/>
                      <w:sz w:val="20"/>
                      <w:szCs w:val="20"/>
                    </w:rPr>
                    <w:t>scorzonera hispanica</w:t>
                  </w:r>
                  <w:r w:rsidRPr="001F5B5C">
                    <w:rPr>
                      <w:rFonts w:ascii="Times New Roman" w:eastAsia="Times New Roman" w:hAnsi="Times New Roman"/>
                      <w:sz w:val="20"/>
                      <w:szCs w:val="20"/>
                    </w:rPr>
                    <w:t>, known commonly as black salsify, using primarily two types of column chromatography. After initial extraction the activity of the enzyme was protected by ascorbic acid until the enzyme was isolated from its substrates. An ammonium sulfate fractionation, a size exclusion column, and a copper affinity column were used to separate the enzyme from other plant proteins.</w:t>
                  </w:r>
                  <w:r w:rsidRPr="001F5B5C">
                    <w:rPr>
                      <w:rFonts w:ascii="Times New Roman" w:eastAsia="Times New Roman" w:hAnsi="Times New Roman"/>
                      <w:sz w:val="20"/>
                      <w:szCs w:val="20"/>
                    </w:rPr>
                    <w:br/>
                    <w:t>After each step in the isolation process, a spectrophotometric enzyme activity assay and a protein concentration determination were run to verify which fractions contained the protein. Additionally, an SDS-polyacrylamide gel was run in order to estimate the purity of the enzyme. The enzyme activity of the copper column fractions was higher than the size exclusion column fractions, which indicates the process has further purified the protein. Further studies on the enzyme and its purification are ongoing.</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2368355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Electrochemical investigations of FAD-binding RNA aptamers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John Samuelian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jsamue12@slu.edu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John S. Samuelian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Ismaila Emahi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Raghav Poudyal</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Seth A. Staller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Donald H. Burke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Dana A. Baum</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Saint Louis University, St. Louis, MO, United States. </w:t>
                  </w:r>
                  <w:r w:rsidRPr="001F5B5C">
                    <w:rPr>
                      <w:rFonts w:ascii="Times New Roman" w:eastAsia="Times New Roman" w:hAnsi="Times New Roman"/>
                      <w:sz w:val="20"/>
                      <w:szCs w:val="20"/>
                    </w:rPr>
                    <w:br/>
                    <w:t xml:space="preserve">2. Biochemistry, University of Missouri at Columbia, Columbia, MO,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Flavin adenine dinucleotide (FAD) is capable of carrying out a wide range of biological redox reactions due to its relatively high oxidation potential compared to other biological cofactors and its ability to participate in one-or two-electron transfer reactions. In cellular environments, FAD is found in the active site of flavoproteins, which catalyze a large number of metabolic reactions that require a strong oxidizing agent. We are interested in understanding how other biomolecules, including nucleic acids, can interact with cofactors and what effect binding has on their activity. The Burke group has previously identified RNA sequences known as aptamers that are able to bind specifically to FAD, but do not bind to FADH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Using electrochemical approaches, we are investigating the redox activity of FAD when bound to these RNA aptamers and the ability of these complexes to mimic the characteristics of flavoproteins. Many flavoproteins modulate the redox potential of FAD when bound. This shift in potential can translate into various possible reactions that can be catalyzed by such protein-FAD complexes. The ability of the RNA aptamers to mimic such redox-modulating flavoproteins could open up opportunities for the RNA-FAD complexes to participate in a wide range of possible new redox reactions. We are currently using cyclic voltammetry to study the electrochemical behavior of FAD, including any possible shifts in the reduction potential, when bound to the RNA aptamers and our results will be discussed.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2368366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PtSIT1: protein function in silicic acid transport for biomimetic silica synthesis</w:t>
                  </w:r>
                  <w:r w:rsidRPr="001F5B5C">
                    <w:rPr>
                      <w:rFonts w:ascii="Times New Roman" w:eastAsia="Times New Roman" w:hAnsi="Times New Roman"/>
                      <w:b/>
                      <w:bCs/>
                      <w:sz w:val="20"/>
                      <w:szCs w:val="20"/>
                    </w:rPr>
                    <w:t xml:space="preserve"> </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Brenna Kirk | Terence Nile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brennakrk@gmail.com | tanile@uncg.edu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Brenna Kirk</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Laura Senior</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Paul Curnow</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Anne Glenn</w:t>
                  </w:r>
                  <w:r w:rsidRPr="001F5B5C">
                    <w:rPr>
                      <w:rFonts w:ascii="Times New Roman" w:eastAsia="Times New Roman" w:hAnsi="Times New Roman"/>
                      <w:sz w:val="20"/>
                      <w:szCs w:val="20"/>
                      <w:vertAlign w:val="superscript"/>
                    </w:rPr>
                    <w:t>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 of North Carolina, Greensboro, NC, United States. </w:t>
                  </w:r>
                  <w:r w:rsidRPr="001F5B5C">
                    <w:rPr>
                      <w:rFonts w:ascii="Times New Roman" w:eastAsia="Times New Roman" w:hAnsi="Times New Roman"/>
                      <w:sz w:val="20"/>
                      <w:szCs w:val="20"/>
                    </w:rPr>
                    <w:br/>
                    <w:t xml:space="preserve">2. Department of Natural Sciences, New College of Florida, Sarasota, FL, United States. </w:t>
                  </w:r>
                  <w:r w:rsidRPr="001F5B5C">
                    <w:rPr>
                      <w:rFonts w:ascii="Times New Roman" w:eastAsia="Times New Roman" w:hAnsi="Times New Roman"/>
                      <w:sz w:val="20"/>
                      <w:szCs w:val="20"/>
                    </w:rPr>
                    <w:br/>
                    <w:t xml:space="preserve">3. Department of Biochemistry, University of Bristol, Bristol, United Kingdom. </w:t>
                  </w:r>
                  <w:r w:rsidRPr="001F5B5C">
                    <w:rPr>
                      <w:rFonts w:ascii="Times New Roman" w:eastAsia="Times New Roman" w:hAnsi="Times New Roman"/>
                      <w:sz w:val="20"/>
                      <w:szCs w:val="20"/>
                    </w:rPr>
                    <w:br/>
                    <w:t xml:space="preserve">4. Chemistry, Guilford College, Greensboro,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Diatoms are eukaryotic algae that mineralize an external cell wall composed of hydrated silica. This process requires diatoms to uptake soluble silicon (silicic acid) from the surrounding environment by specific silicic acid transport proteins (SITs). This family of proteins is relatively uncharacterized. The goal of this project was to 1) express and purify SIT1 from the diatom </w:t>
                  </w:r>
                  <w:r w:rsidRPr="001F5B5C">
                    <w:rPr>
                      <w:rFonts w:ascii="Times New Roman" w:eastAsia="Times New Roman" w:hAnsi="Times New Roman"/>
                      <w:i/>
                      <w:iCs/>
                      <w:sz w:val="20"/>
                      <w:szCs w:val="20"/>
                    </w:rPr>
                    <w:t xml:space="preserve">Phaeodactylum tricornutum </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Pt</w:t>
                  </w:r>
                  <w:r w:rsidRPr="001F5B5C">
                    <w:rPr>
                      <w:rFonts w:ascii="Times New Roman" w:eastAsia="Times New Roman" w:hAnsi="Times New Roman"/>
                      <w:sz w:val="20"/>
                      <w:szCs w:val="20"/>
                    </w:rPr>
                    <w:t xml:space="preserve">SIT1), 2) reconstitute the protein into a synthetic lipid vesicle and to 3) determine whether SIT1 can behave as a silicic acid transporter </w:t>
                  </w:r>
                  <w:r w:rsidRPr="001F5B5C">
                    <w:rPr>
                      <w:rFonts w:ascii="Times New Roman" w:eastAsia="Times New Roman" w:hAnsi="Times New Roman"/>
                      <w:i/>
                      <w:iCs/>
                      <w:sz w:val="20"/>
                      <w:szCs w:val="20"/>
                    </w:rPr>
                    <w:t>in vivo</w:t>
                  </w:r>
                  <w:r w:rsidRPr="001F5B5C">
                    <w:rPr>
                      <w:rFonts w:ascii="Times New Roman" w:eastAsia="Times New Roman" w:hAnsi="Times New Roman"/>
                      <w:sz w:val="20"/>
                      <w:szCs w:val="20"/>
                    </w:rPr>
                    <w:t xml:space="preserve"> for eventual applications in nanotechnology. </w:t>
                  </w:r>
                  <w:r w:rsidRPr="001F5B5C">
                    <w:rPr>
                      <w:rFonts w:ascii="Times New Roman" w:eastAsia="Times New Roman" w:hAnsi="Times New Roman"/>
                      <w:sz w:val="20"/>
                      <w:szCs w:val="20"/>
                    </w:rPr>
                    <w:br/>
                  </w:r>
                  <w:r w:rsidRPr="001F5B5C">
                    <w:rPr>
                      <w:rFonts w:ascii="Times New Roman" w:eastAsia="Times New Roman" w:hAnsi="Times New Roman"/>
                      <w:i/>
                      <w:iCs/>
                      <w:sz w:val="20"/>
                      <w:szCs w:val="20"/>
                    </w:rPr>
                    <w:t>Pt</w:t>
                  </w:r>
                  <w:r w:rsidRPr="001F5B5C">
                    <w:rPr>
                      <w:rFonts w:ascii="Times New Roman" w:eastAsia="Times New Roman" w:hAnsi="Times New Roman"/>
                      <w:sz w:val="20"/>
                      <w:szCs w:val="20"/>
                    </w:rPr>
                    <w:t xml:space="preserve">SIT1 was overexpressed in yeast and purified in the solubilizing detergent Fos-choline 12. The purified protein was successfully reconstituted into synthetic liposomes and silicic acid uptake was assessed using a fluorescent assay which used zinc silicate fluorescence. This method also was used to determine that silicic acid transported by </w:t>
                  </w:r>
                  <w:r w:rsidRPr="001F5B5C">
                    <w:rPr>
                      <w:rFonts w:ascii="Times New Roman" w:eastAsia="Times New Roman" w:hAnsi="Times New Roman"/>
                      <w:i/>
                      <w:iCs/>
                      <w:sz w:val="20"/>
                      <w:szCs w:val="20"/>
                    </w:rPr>
                    <w:t>Pt</w:t>
                  </w:r>
                  <w:r w:rsidRPr="001F5B5C">
                    <w:rPr>
                      <w:rFonts w:ascii="Times New Roman" w:eastAsia="Times New Roman" w:hAnsi="Times New Roman"/>
                      <w:sz w:val="20"/>
                      <w:szCs w:val="20"/>
                    </w:rPr>
                    <w:t>SIT1 displayed Michaelis-Menten kinetics with a K</w:t>
                  </w:r>
                  <w:r w:rsidRPr="001F5B5C">
                    <w:rPr>
                      <w:rFonts w:ascii="Times New Roman" w:eastAsia="Times New Roman" w:hAnsi="Times New Roman"/>
                      <w:i/>
                      <w:iCs/>
                      <w:sz w:val="20"/>
                      <w:szCs w:val="20"/>
                    </w:rPr>
                    <w:t>m</w:t>
                  </w:r>
                  <w:r w:rsidRPr="001F5B5C">
                    <w:rPr>
                      <w:rFonts w:ascii="Times New Roman" w:eastAsia="Times New Roman" w:hAnsi="Times New Roman"/>
                      <w:sz w:val="20"/>
                      <w:szCs w:val="20"/>
                    </w:rPr>
                    <w:t xml:space="preserve"> of 1.8 μM. Preliminary electron microscopy suggested that the silicic acid silicic acid transported into the liposome condense to form silica nanoparticles in the presence of tetraethylenepentamine, a condensing agent. This work confirms that </w:t>
                  </w:r>
                  <w:r w:rsidRPr="001F5B5C">
                    <w:rPr>
                      <w:rFonts w:ascii="Times New Roman" w:eastAsia="Times New Roman" w:hAnsi="Times New Roman"/>
                      <w:i/>
                      <w:iCs/>
                      <w:sz w:val="20"/>
                      <w:szCs w:val="20"/>
                    </w:rPr>
                    <w:t>Pt</w:t>
                  </w:r>
                  <w:r w:rsidRPr="001F5B5C">
                    <w:rPr>
                      <w:rFonts w:ascii="Times New Roman" w:eastAsia="Times New Roman" w:hAnsi="Times New Roman"/>
                      <w:sz w:val="20"/>
                      <w:szCs w:val="20"/>
                    </w:rPr>
                    <w:t xml:space="preserve">SIT1 can be utilized in further exploration of biomineralization of silica </w:t>
                  </w:r>
                  <w:r w:rsidRPr="001F5B5C">
                    <w:rPr>
                      <w:rFonts w:ascii="Times New Roman" w:eastAsia="Times New Roman" w:hAnsi="Times New Roman"/>
                      <w:i/>
                      <w:iCs/>
                      <w:sz w:val="20"/>
                      <w:szCs w:val="20"/>
                    </w:rPr>
                    <w:t>in vivo</w:t>
                  </w:r>
                  <w:r w:rsidRPr="001F5B5C">
                    <w:rPr>
                      <w:rFonts w:ascii="Times New Roman" w:eastAsia="Times New Roman" w:hAnsi="Times New Roman"/>
                      <w:sz w:val="20"/>
                      <w:szCs w:val="20"/>
                    </w:rPr>
                    <w:t xml:space="preserve"> in an effort to explore ‘green’ syntheses of silica nanoparticles.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2368461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NATURAL PRODUCT ISOLATION AND ACTIVITY-BASED FRACTIONATION</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OF BIOACTIVE COMPOUNDS FOUND IN ENGLISH IVY, </w:t>
                  </w:r>
                  <w:r w:rsidRPr="001F5B5C">
                    <w:rPr>
                      <w:rFonts w:ascii="Times New Roman" w:eastAsia="Times New Roman" w:hAnsi="Times New Roman"/>
                      <w:i/>
                      <w:iCs/>
                      <w:sz w:val="20"/>
                      <w:szCs w:val="20"/>
                    </w:rPr>
                    <w:t>HEDERA HELIX</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Brandon Denney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brandon.denney@my.maryvillecollege.edu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Brandon B. Denney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Angelia D. Gibson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Nathan Duncan</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Maryville College, Maryville, TN, United States. </w:t>
                  </w:r>
                  <w:r w:rsidRPr="001F5B5C">
                    <w:rPr>
                      <w:rFonts w:ascii="Times New Roman" w:eastAsia="Times New Roman" w:hAnsi="Times New Roman"/>
                      <w:sz w:val="20"/>
                      <w:szCs w:val="20"/>
                    </w:rPr>
                    <w:br/>
                    <w:t xml:space="preserve">2. Department of Natural Sciences, Maryville College, Maryville, TN, United States. </w:t>
                  </w:r>
                  <w:r w:rsidRPr="001F5B5C">
                    <w:rPr>
                      <w:rFonts w:ascii="Times New Roman" w:eastAsia="Times New Roman" w:hAnsi="Times New Roman"/>
                      <w:sz w:val="20"/>
                      <w:szCs w:val="20"/>
                    </w:rPr>
                    <w:br/>
                    <w:t xml:space="preserve">3. Natural Sciences, Maryville College, Knoxville,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English Ivy, </w:t>
                  </w:r>
                  <w:r w:rsidRPr="001F5B5C">
                    <w:rPr>
                      <w:rFonts w:ascii="Times New Roman" w:eastAsia="Times New Roman" w:hAnsi="Times New Roman"/>
                      <w:i/>
                      <w:iCs/>
                      <w:sz w:val="20"/>
                      <w:szCs w:val="20"/>
                    </w:rPr>
                    <w:t xml:space="preserve">Hedera. </w:t>
                  </w:r>
                  <w:proofErr w:type="gramStart"/>
                  <w:r w:rsidRPr="001F5B5C">
                    <w:rPr>
                      <w:rFonts w:ascii="Times New Roman" w:eastAsia="Times New Roman" w:hAnsi="Times New Roman"/>
                      <w:i/>
                      <w:iCs/>
                      <w:sz w:val="20"/>
                      <w:szCs w:val="20"/>
                    </w:rPr>
                    <w:t>helix</w:t>
                  </w:r>
                  <w:proofErr w:type="gramEnd"/>
                  <w:r w:rsidRPr="001F5B5C">
                    <w:rPr>
                      <w:rFonts w:ascii="Times New Roman" w:eastAsia="Times New Roman" w:hAnsi="Times New Roman"/>
                      <w:i/>
                      <w:iCs/>
                      <w:sz w:val="20"/>
                      <w:szCs w:val="20"/>
                    </w:rPr>
                    <w:t xml:space="preserve">, </w:t>
                  </w:r>
                  <w:r w:rsidRPr="001F5B5C">
                    <w:rPr>
                      <w:rFonts w:ascii="Times New Roman" w:eastAsia="Times New Roman" w:hAnsi="Times New Roman"/>
                      <w:sz w:val="20"/>
                      <w:szCs w:val="20"/>
                    </w:rPr>
                    <w:t xml:space="preserve">is an invasive climbing vine that originates from Northern Africa. The plant grows abundantly in the Maryville College woods. Although eradication of </w:t>
                  </w:r>
                  <w:r w:rsidRPr="001F5B5C">
                    <w:rPr>
                      <w:rFonts w:ascii="Times New Roman" w:eastAsia="Times New Roman" w:hAnsi="Times New Roman"/>
                      <w:i/>
                      <w:iCs/>
                      <w:sz w:val="20"/>
                      <w:szCs w:val="20"/>
                    </w:rPr>
                    <w:t xml:space="preserve">H. helix </w:t>
                  </w:r>
                  <w:r w:rsidRPr="001F5B5C">
                    <w:rPr>
                      <w:rFonts w:ascii="Times New Roman" w:eastAsia="Times New Roman" w:hAnsi="Times New Roman"/>
                      <w:sz w:val="20"/>
                      <w:szCs w:val="20"/>
                    </w:rPr>
                    <w:t xml:space="preserve">has proven difficult, evidence suggests that the plant harbors important biological activities; specifically the inhibition of tyrosinase, a key enzyme in the biosynthesis of melanin. </w:t>
                  </w:r>
                  <w:r w:rsidRPr="001F5B5C">
                    <w:rPr>
                      <w:rFonts w:ascii="Times New Roman" w:eastAsia="Times New Roman" w:hAnsi="Times New Roman"/>
                      <w:i/>
                      <w:iCs/>
                      <w:sz w:val="20"/>
                      <w:szCs w:val="20"/>
                    </w:rPr>
                    <w:t xml:space="preserve">H. helix </w:t>
                  </w:r>
                  <w:r w:rsidRPr="001F5B5C">
                    <w:rPr>
                      <w:rFonts w:ascii="Times New Roman" w:eastAsia="Times New Roman" w:hAnsi="Times New Roman"/>
                      <w:sz w:val="20"/>
                      <w:szCs w:val="20"/>
                    </w:rPr>
                    <w:t xml:space="preserve">is rich in saponins and flavonoids, which have shown promise in the ability to inhibit tyrosinase. Fresh samples of </w:t>
                  </w:r>
                  <w:r w:rsidRPr="001F5B5C">
                    <w:rPr>
                      <w:rFonts w:ascii="Times New Roman" w:eastAsia="Times New Roman" w:hAnsi="Times New Roman"/>
                      <w:i/>
                      <w:iCs/>
                      <w:sz w:val="20"/>
                      <w:szCs w:val="20"/>
                    </w:rPr>
                    <w:t xml:space="preserve">H. helix </w:t>
                  </w:r>
                  <w:r w:rsidRPr="001F5B5C">
                    <w:rPr>
                      <w:rFonts w:ascii="Times New Roman" w:eastAsia="Times New Roman" w:hAnsi="Times New Roman"/>
                      <w:sz w:val="20"/>
                      <w:szCs w:val="20"/>
                    </w:rPr>
                    <w:t>were collected from the Maryville College woods and subjected to Soxhlet extraction. Samples of crude extract were then fractionated through the use of different chemical solvents. The fractionated components of the extract were screened for inhibition of tyrosinase-catalyzed oxidation of 3</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-dihydroxyphenylalanine using a colorimetric assay. Activity-guided fractionation, based on this assay, is being used to further isolate and identify compounds with promising tyrosinase-inhibitory activity.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2368565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Novel labeling strategy of nucleic acids: less is more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sarah nguyen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snguyen24@student.gsu.edu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sarah nguyen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Ekaterina Strovea</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Markus W. Germann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Georgia State Univ, Atlanta, GA, United States. </w:t>
                  </w:r>
                  <w:r w:rsidRPr="001F5B5C">
                    <w:rPr>
                      <w:rFonts w:ascii="Times New Roman" w:eastAsia="Times New Roman" w:hAnsi="Times New Roman"/>
                      <w:sz w:val="20"/>
                      <w:szCs w:val="20"/>
                    </w:rPr>
                    <w:br/>
                    <w:t xml:space="preserve">2. Chemistry, Georgia State University, Atlanta, GA, United States. </w:t>
                  </w:r>
                  <w:r w:rsidRPr="001F5B5C">
                    <w:rPr>
                      <w:rFonts w:ascii="Times New Roman" w:eastAsia="Times New Roman" w:hAnsi="Times New Roman"/>
                      <w:sz w:val="20"/>
                      <w:szCs w:val="20"/>
                    </w:rPr>
                    <w:br/>
                    <w:t xml:space="preserve">3. Chemistry, Georgia State University,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NMR spectroscopy has proven highly useful for structural characterization of macromolecules. The sheer number of resonances in large molecules however creates complications in that resonances overlap to an extent that important information can no longer be extracted. This drove the development of multdimensional NMR experiments to alleviate peak overlap. Subsequently, the introduction of isotopes further simplified spectral appearance and also enabled the implementation of more sophisticated NMR experiment in proteins. Isotopic labeling (</w:t>
                  </w:r>
                  <w:r w:rsidRPr="001F5B5C">
                    <w:rPr>
                      <w:rFonts w:ascii="Times New Roman" w:eastAsia="Times New Roman" w:hAnsi="Times New Roman"/>
                      <w:sz w:val="20"/>
                      <w:szCs w:val="20"/>
                      <w:vertAlign w:val="superscript"/>
                    </w:rPr>
                    <w:t>13</w:t>
                  </w:r>
                  <w:r w:rsidRPr="001F5B5C">
                    <w:rPr>
                      <w:rFonts w:ascii="Times New Roman" w:eastAsia="Times New Roman" w:hAnsi="Times New Roman"/>
                      <w:sz w:val="20"/>
                      <w:szCs w:val="20"/>
                    </w:rPr>
                    <w:t xml:space="preserve">C and </w:t>
                  </w:r>
                  <w:r w:rsidRPr="001F5B5C">
                    <w:rPr>
                      <w:rFonts w:ascii="Times New Roman" w:eastAsia="Times New Roman" w:hAnsi="Times New Roman"/>
                      <w:sz w:val="20"/>
                      <w:szCs w:val="20"/>
                      <w:vertAlign w:val="superscript"/>
                    </w:rPr>
                    <w:t>15</w:t>
                  </w:r>
                  <w:r w:rsidRPr="001F5B5C">
                    <w:rPr>
                      <w:rFonts w:ascii="Times New Roman" w:eastAsia="Times New Roman" w:hAnsi="Times New Roman"/>
                      <w:sz w:val="20"/>
                      <w:szCs w:val="20"/>
                    </w:rPr>
                    <w:t>N) of proteins is readily accomplished, labeling of RNA requires labeled triphosphates which are expensive. While labeling DNA using solid phase synthesis allows the specific incorporation of labeled residues ubiquitously or at specific locations, the costs are prohibitive.</w:t>
                  </w:r>
                  <w:r w:rsidRPr="001F5B5C">
                    <w:rPr>
                      <w:rFonts w:ascii="Times New Roman" w:eastAsia="Times New Roman" w:hAnsi="Times New Roman"/>
                      <w:sz w:val="20"/>
                      <w:szCs w:val="20"/>
                    </w:rPr>
                    <w:br/>
                    <w:t xml:space="preserve">We have developed a procedure to provide a cost effective and simple option to simplify DNA NMR spectroscopy and simultaneously introduce new isotopic labels. This method is based on the exchange GH8’s and AH8’s hydrogens with </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H. Therefore, this procedure is particularly useful for sequences rich in guanosines and adenines. For example, </w:t>
                  </w:r>
                  <w:proofErr w:type="gramStart"/>
                  <w:r w:rsidRPr="001F5B5C">
                    <w:rPr>
                      <w:rFonts w:ascii="Times New Roman" w:eastAsia="Times New Roman" w:hAnsi="Times New Roman"/>
                      <w:sz w:val="20"/>
                      <w:szCs w:val="20"/>
                    </w:rPr>
                    <w:t>ligand binding studies with DNA quadruplexes benefit greatly from a less cluttered aromatic resonance region and provides</w:t>
                  </w:r>
                  <w:proofErr w:type="gramEnd"/>
                  <w:r w:rsidRPr="001F5B5C">
                    <w:rPr>
                      <w:rFonts w:ascii="Times New Roman" w:eastAsia="Times New Roman" w:hAnsi="Times New Roman"/>
                      <w:sz w:val="20"/>
                      <w:szCs w:val="20"/>
                    </w:rPr>
                    <w:t xml:space="preserve"> a clearer picture the involvement of loops and flanking sequences in binding, structure, and dynamics. We will demonstrate the application of this method on a regular DNA 10-mer duplex in presence and absence of a sequence specific ligand and a DNA quadruplex (PU22).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2368625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PCBP2 Knockdown Leads to Iron Overload in Mouse Liver Tissue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 Rivas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alex.rivas@cameron.edu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Alex Rivas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Caroline Philpott</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Fengmin Li</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Physics and Engineering, Cameron University, Lawton, OK, United States. </w:t>
                  </w:r>
                  <w:r w:rsidRPr="001F5B5C">
                    <w:rPr>
                      <w:rFonts w:ascii="Times New Roman" w:eastAsia="Times New Roman" w:hAnsi="Times New Roman"/>
                      <w:sz w:val="20"/>
                      <w:szCs w:val="20"/>
                    </w:rPr>
                    <w:br/>
                    <w:t xml:space="preserve">2. Liver Disease Branch, NIDDK, NIH, Bethesda, MD,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Iron is an essential co-factor for many proteins involved in central cellular processes and is toxic at high concentrations. Therefore, iron storage, uptake and utilization are tightly regulated. Ferritin, the ubiquitous iron storage protein, Hepcidin a liver hormone that controls cellular iron release, Iron Regulatory Protein 2 (IRP2) and the Transferrin receptor, a protein and transmembrane iron importer respond to fluctuations in iron concentration and function to bring iron to stable levels.</w:t>
                  </w:r>
                  <w:r w:rsidRPr="001F5B5C">
                    <w:rPr>
                      <w:rFonts w:ascii="Times New Roman" w:eastAsia="Times New Roman" w:hAnsi="Times New Roman"/>
                      <w:sz w:val="20"/>
                      <w:szCs w:val="20"/>
                    </w:rPr>
                    <w:br/>
                    <w:t>Poly (rC)–binding proteins 1 and 2 (PCBP1 and PCBP2) are multifunctional adaptor proteins that bind cytosolic iron for delivery to target apoproteins. We studied the regulation of iron related proteins in a mouse model of PCBP2 knockdown mice. We hypothesized that PCBP2 knockdown leads to iron overload in liver tissue. We used western blots to measure protein expression in response to PCBP2 is knocked down, Real-Time PCR to quantify the gene expression levels of iron related proteins. Compared to the wild type Heterozygous PCBP2 Knockdown mice showed significant elevation in liver Hepcidin levels along with decreased transferrin, and IRP2 levels. PCBP1 remained constant and PCBP2 expression was reduced by half. This shows that PCBP2 has a role in cellular iron regulation.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2368675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role of histone acetyltransferase 1 in DNA double-strand break repair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Nicholas Boyle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nboyle@uab.edu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Nicholas Boyle</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Patrícia Z. Ferreira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Mark R. Parthun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Alabama at Birmingham, Decatur, AL, United States. </w:t>
                  </w:r>
                  <w:r w:rsidRPr="001F5B5C">
                    <w:rPr>
                      <w:rFonts w:ascii="Times New Roman" w:eastAsia="Times New Roman" w:hAnsi="Times New Roman"/>
                      <w:sz w:val="20"/>
                      <w:szCs w:val="20"/>
                    </w:rPr>
                    <w:br/>
                    <w:t xml:space="preserve">2. The Ohio State University, Columbus, OH,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Histone acetyltransferases are enzymes that catalytically transfer an acetyl group from acetyl-CoA to a lysine residue to form ε-</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-acetyllysine. Histone acetylation not only loosens the coiling of the chromatin, but also is necessary for organismal development. Histone acetyltransferase 1 (Hat1) is a type B histone acetyltransferase that acetylates lysine residues 5 and 12 on histone H4. Hat1 exists in the cytoplasm and acetylates newly-synthesized histone H4 before its incorporation into chromatin. At the molecular level, Hat1</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cells have unstable genomes; they have a higher basal number of DNA double-strand breaks (DSBs) and a higher number of DSB foci after treatment with a DNA-damaging agent compared to their wild-type counterparts. This research investigates the role of Hat1 on DNA DSB repair. Preliminary results suggest that Hat1 is involved in DNA DSB repair, but the mechanism of this involvement is unclear. This presentation implicates a more important role of Hat1 in DNA DSB repair.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0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2368788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Characterization of the pattern and properties of fluorescence in Opiliones (harvestmen) captured in Cusuco National Park, Honduras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Sarah Hagans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sarah.hagans@my.maryvillecollege.edu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Sarah R. Hagans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Angelia D. Gibson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Megan Lock</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Maryville College, Maryville, TN, United States. </w:t>
                  </w:r>
                  <w:r w:rsidRPr="001F5B5C">
                    <w:rPr>
                      <w:rFonts w:ascii="Times New Roman" w:eastAsia="Times New Roman" w:hAnsi="Times New Roman"/>
                      <w:sz w:val="20"/>
                      <w:szCs w:val="20"/>
                    </w:rPr>
                    <w:br/>
                    <w:t xml:space="preserve">2. Natural Sciences, Maryville College, Mt. Juliet,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It has been reported that many species of arachnids (spiders and scorpions) are fluorescent, however little is known about the evolutionary significance or the chemical nature of fluorescent compounds. Specimens of another fluorescing member of the arachnid class belonging to the order Opiliones (harvestmen) and classified as Eucynorta sp, were captured upon detection with black light in Cusuco National Park, Honduras. The opilionids glowed most intensely under long-wave ultraviolet light. The fluorescence was localized to a specific pattern on the dorsal carapace, abdominal tergites, and palps. Diffuse fluorescence was also detected on legs, trochanters and chelicerae. Carapace and leg samples from specimens were homogenized in either phosphate-buffered saline (PBS) or 95% ethanol, and the extracts were monitored for fluorescence using a fluorescence plate reader (lex=360 nm). Both ethanol and PBS extracts from the legs and the carapace had emission peaks near 450 nm, suggesting that the fluorescent compounds are </w:t>
                  </w:r>
                  <w:proofErr w:type="gramStart"/>
                  <w:r w:rsidRPr="001F5B5C">
                    <w:rPr>
                      <w:rFonts w:ascii="Times New Roman" w:eastAsia="Times New Roman" w:hAnsi="Times New Roman"/>
                      <w:sz w:val="20"/>
                      <w:szCs w:val="20"/>
                    </w:rPr>
                    <w:t>polar</w:t>
                  </w:r>
                  <w:proofErr w:type="gramEnd"/>
                  <w:r w:rsidRPr="001F5B5C">
                    <w:rPr>
                      <w:rFonts w:ascii="Times New Roman" w:eastAsia="Times New Roman" w:hAnsi="Times New Roman"/>
                      <w:sz w:val="20"/>
                      <w:szCs w:val="20"/>
                    </w:rPr>
                    <w:t>. Studies are ongoing to separate and characterize the fluorophores using thin layer chromatography and high-performance liquid chromatography. The results will be compared with profiles of fluorophores identified in other arachnids.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Biological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2368800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 Attempt to Enhance the Cell Proliferation Activity of the Human Fibroblast Growth Factor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Ellen Fields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egfields@uark.edu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Ellen G. Fields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Biochemistry, University of Arkansas, Fayetteville,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Human Fibroblast Growth Factor-1 (hFGF-1) is a 16kDa heparin-binding protein that is involved with many biological processes. FGF-1 is specifically related to processes involving cell differentiation, proliferation, angiogenesis, and wound healing. This heparin-binding protein interacts with the surface of a cell at its fibroblast growth factor receptors (FGFRs) and this interaction causes a sequence of events that lead the protein to carry out its specific task. The region of the protein that is responsible for binding to FGFR has a proline amino acid at position 135 (P135). The goal of this research is to understand how this proline contributes to the overall structure, stability, and functionality of the FGF-1 protein. Using site directed mutagenesis, the proline is replaced with a different amino acid, </w:t>
                  </w:r>
                  <w:proofErr w:type="gramStart"/>
                  <w:r w:rsidRPr="001F5B5C">
                    <w:rPr>
                      <w:rFonts w:ascii="Times New Roman" w:eastAsia="Times New Roman" w:hAnsi="Times New Roman"/>
                      <w:sz w:val="20"/>
                      <w:szCs w:val="20"/>
                    </w:rPr>
                    <w:t>glutamic</w:t>
                  </w:r>
                  <w:proofErr w:type="gramEnd"/>
                  <w:r w:rsidRPr="001F5B5C">
                    <w:rPr>
                      <w:rFonts w:ascii="Times New Roman" w:eastAsia="Times New Roman" w:hAnsi="Times New Roman"/>
                      <w:sz w:val="20"/>
                      <w:szCs w:val="20"/>
                    </w:rPr>
                    <w:t xml:space="preserve"> acid, at base pair 135 and the effects on the protein are measured using a variety of biophysical assays, some of them including DSC, multi-dimensional NMR spectroscopy, CD spectroscopy, IT calorimetry, and fluorescence. Information acquired from this study is expected offer great insight on the stability of the protein, and specifically how the protein can be stabilized to enhance cell proliferation.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2344395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Effect of cooking methods on polyphenol content and antioxidant activity of kale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Bryt'ni Hill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brytni_hill@yahoo.com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Bryt'ni Hill</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Newberry College, Newberry,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objective of this research was to determine the effects of three cooking techniques (boiling, steaming and baking) on polyphenol content and antioxidant activity of kale as measured by four analytical assays: the Folin-Ciocalteu method, Trolox equivalent antioxidant capacitiy (TEAC), ferric reducing antioxidant power (FRAP), and high performance liquid chromatography (HPLC). The results follow similar trends found in studies done on vegetables of the same species, </w:t>
                  </w:r>
                  <w:r w:rsidRPr="001F5B5C">
                    <w:rPr>
                      <w:rFonts w:ascii="Times New Roman" w:eastAsia="Times New Roman" w:hAnsi="Times New Roman"/>
                      <w:i/>
                      <w:iCs/>
                      <w:sz w:val="20"/>
                      <w:szCs w:val="20"/>
                    </w:rPr>
                    <w:t>Brassica oleracea</w:t>
                  </w:r>
                  <w:r w:rsidRPr="001F5B5C">
                    <w:rPr>
                      <w:rFonts w:ascii="Times New Roman" w:eastAsia="Times New Roman" w:hAnsi="Times New Roman"/>
                      <w:sz w:val="20"/>
                      <w:szCs w:val="20"/>
                    </w:rPr>
                    <w:t>. They support the most common method of preparation, steaming, to be the best method for preserving polyphenols and potentially increasing antioxidant activity as shown by FRAP, Folin-Ciocalteu, and HPLC data.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2349586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characterization of thermochromic pyridinium salts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Erin Larrabee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emlarrab@loyno.edu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Erin Larrabee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Olivier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Lynn V. Koplitz</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Loyola University New Orleans, New Orleans,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Isomeric cyanomethylpyridinium hexafluorophosphate salts were synthesized and characterized by microsopy, DSC, FTIR, UV/vis, and single crystal X-ray diffractometry. All isomers are found to exhibit a bathochromic shift in visible absorbance corresponding to an observed change in color from white or yellow at room temperature to red upon heating. Experimental methods, characteristic spectra, physical properties, and crystal structures of these interesting compounds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2349955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A prebiotic source of glyoxylic acid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Lizzie Francis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lizzie.francis@furman.edu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Lizzie Francis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Greg G. Springsteen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Glyoxylic acid, an alpha-keto acid, is a crucial molecule in multiple hypotheses regarding the chemical origins of life. For example, it has been suggested as a feedstock for a pre-citric acid cycle proto-metabolism. Although glyoxylic acid has been detected in interstellar space, and in electric discharge experiments, it is a strong electrophile and thus quite reactive. A demonstration of a renewable synthesis of glyoxylic acid in a prebiotic environment would make its inclusion in these hypotheses more viable. A potential autocatalytic synthesis of glyxolate from hydrogen cyanide polymer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2351121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of an active learning: General chemistry laboratory experiment on the identification of unknown halide salts for use as a recruiting tool during the first UNC Asheville NSF S-STEM “Chemistry First Prospective Scholars and Teacher Day”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 xml:space="preserve">Madilyn Snyder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msnyder2@unca.edu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 xml:space="preserve">Madilyn Snyder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Amanda L. Wolfe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North Carolina Asheville, Asheville,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goal of this project was to develop a general chemistry laboratory experiment to be used as a recruiting tool for high merit, first generation students from western North Carolina during the inaugural</w:t>
                  </w:r>
                  <w:r w:rsidRPr="001F5B5C">
                    <w:rPr>
                      <w:rFonts w:ascii="Times New Roman" w:eastAsia="Times New Roman" w:hAnsi="Times New Roman"/>
                      <w:i/>
                      <w:iCs/>
                      <w:sz w:val="20"/>
                      <w:szCs w:val="20"/>
                    </w:rPr>
                    <w:t xml:space="preserve"> Chemistry First Prospective Scholars and Teachers </w:t>
                  </w:r>
                  <w:r w:rsidRPr="001F5B5C">
                    <w:rPr>
                      <w:rFonts w:ascii="Times New Roman" w:eastAsia="Times New Roman" w:hAnsi="Times New Roman"/>
                      <w:sz w:val="20"/>
                      <w:szCs w:val="20"/>
                    </w:rPr>
                    <w:t>(CFPST)</w:t>
                  </w:r>
                  <w:r w:rsidRPr="001F5B5C">
                    <w:rPr>
                      <w:rFonts w:ascii="Times New Roman" w:eastAsia="Times New Roman" w:hAnsi="Times New Roman"/>
                      <w:i/>
                      <w:iCs/>
                      <w:sz w:val="20"/>
                      <w:szCs w:val="20"/>
                    </w:rPr>
                    <w:t xml:space="preserve"> Day</w:t>
                  </w:r>
                  <w:r w:rsidRPr="001F5B5C">
                    <w:rPr>
                      <w:rFonts w:ascii="Times New Roman" w:eastAsia="Times New Roman" w:hAnsi="Times New Roman"/>
                      <w:sz w:val="20"/>
                      <w:szCs w:val="20"/>
                    </w:rPr>
                    <w:t xml:space="preserve"> at UNC Asheville. This laboratory experiment was designed to allow prospective scholars to experience what a typical general chemistry laboratory is like at UNC Asheville while providing regional high school teachers with an easily reproducible experiment that they could implement at their home institution. The experiment integrates quantitative and qualitative analysis through the use of three different experimental tests: precipitation, halogen exchange, and titration, to identify 3 unknown halide salts and a single unknown mixture. From these results the students are able to identify the chemical formula for each unknown by comparing the experimentally determined formula mass with that calculated for each group 1 and group 2 </w:t>
                  </w:r>
                  <w:proofErr w:type="gramStart"/>
                  <w:r w:rsidRPr="001F5B5C">
                    <w:rPr>
                      <w:rFonts w:ascii="Times New Roman" w:eastAsia="Times New Roman" w:hAnsi="Times New Roman"/>
                      <w:sz w:val="20"/>
                      <w:szCs w:val="20"/>
                    </w:rPr>
                    <w:t>salt</w:t>
                  </w:r>
                  <w:proofErr w:type="gramEnd"/>
                  <w:r w:rsidRPr="001F5B5C">
                    <w:rPr>
                      <w:rFonts w:ascii="Times New Roman" w:eastAsia="Times New Roman" w:hAnsi="Times New Roman"/>
                      <w:sz w:val="20"/>
                      <w:szCs w:val="20"/>
                    </w:rPr>
                    <w:t xml:space="preserve"> and devise a method for identifying which salts are in their mixture. To assess the effectiveness of the experiment on recruiting and teacher development pre-surveys and post-surveys were provided to all participants, which were analyzed to improve the experiment for the following years.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2351487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Involving high school students in summer chemistry research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 Zuidema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dan.zuidema@covenant.edu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Daniel R. Zuidema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Lindsey B. Herndon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Covenant College, Lookout Mountain,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Three high school students performed summer research in chemistry on a local college campus. The goal was to give high school students a chance to participate in an authentic chemistry research experience. Over the course of two weeks, students were able to make progress in research that we plan to publish in a peer-reviewed research journal in due course.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2355829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Biosorption of cadmium from aqueous solutions using highly characterized peats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Kimberly Mouzone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kmouzone@claflin.edu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Anthony Rizzuti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Latoya Whitley Cosme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Kimberly Mouzone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Claflin University, Orangeburg,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purpose of this research was to investigate the cadmium (Cd) biosorption potential of highly characterized peats from aqueous solutions. Six peat types were mixed with Cd solutions. Samples were tested unaltered, and after HCL treatment. Additional parameters tested include sample dose, contact time, mixing temperature, and the concentrations and pH of the Cd solutions. Desorption studies were performed to determine if the removed Cd could be recovered. In addition, tests were done to determine if the peats could be reused for additional Cd biosorption cycles. The results demonstrate that all six peat types worked well at biosorbing Cd from aqueous solutions (36-100% removal). As sample dose increased, the percent of Cd removed increased (16-31% increase). As contact time increased, the percent of Cd removed increased slightly (1-10% increase). As the Cd solution concentration increased, the percent of Cd removed decreased for 2 of the 6 peats (19-23% decrease), while increasing slightly for 3 of the 6 peat types (1-4% increase). As the mixing temperature increased, the percent of Cd removed decreased slightly for 3 of the 6 peat types (1-5% decrease), while increasing slightly for the other 3 peat types (1-12% increase). As the pH of the Cd solution increased, the percent of Cd removed increased (16-56% increase). Desorption results showed a 34-71% Cd recovery rate. Reused peats were also highly effective at removing Cd (with or without going through desorption). Hence, these peats may be reused repeatedly for this purpose without becoming a hazardous waste disposal problem. Two of the 6 HCL-treated peats worked slightly better at removing Cd than did the untreated peats (4-7% better), while the other 4 peat types worked better in the unaltered state (3-18% better). Overall, the peat types tested demonstrated a great potential for biosorption of Cd from aqueous solutions.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2357073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Incorporation of titania into porous PMMA for photocatalytic applications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Justin Glover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jglover@erskine.edu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Justin D. Glover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Joel E. Boyd</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Erkskine College, Due West,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Porous </w:t>
                  </w:r>
                  <w:proofErr w:type="gramStart"/>
                  <w:r w:rsidRPr="001F5B5C">
                    <w:rPr>
                      <w:rFonts w:ascii="Times New Roman" w:eastAsia="Times New Roman" w:hAnsi="Times New Roman"/>
                      <w:sz w:val="20"/>
                      <w:szCs w:val="20"/>
                    </w:rPr>
                    <w:t>poly(</w:t>
                  </w:r>
                  <w:proofErr w:type="gramEnd"/>
                  <w:r w:rsidRPr="001F5B5C">
                    <w:rPr>
                      <w:rFonts w:ascii="Times New Roman" w:eastAsia="Times New Roman" w:hAnsi="Times New Roman"/>
                      <w:sz w:val="20"/>
                      <w:szCs w:val="20"/>
                    </w:rPr>
                    <w:t xml:space="preserve">methyl methacrylate) infused with commercially prepared titania nanoparticles has been previously developed for photocatalytic applications. This material has been made in the past by mixing PMMA, acetone, and Tween surfactant together, and then spraying </w:t>
                  </w:r>
                  <w:proofErr w:type="gramStart"/>
                  <w:r w:rsidRPr="001F5B5C">
                    <w:rPr>
                      <w:rFonts w:ascii="Times New Roman" w:eastAsia="Times New Roman" w:hAnsi="Times New Roman"/>
                      <w:sz w:val="20"/>
                      <w:szCs w:val="20"/>
                    </w:rPr>
                    <w:t>a titania</w:t>
                  </w:r>
                  <w:proofErr w:type="gramEnd"/>
                  <w:r w:rsidRPr="001F5B5C">
                    <w:rPr>
                      <w:rFonts w:ascii="Times New Roman" w:eastAsia="Times New Roman" w:hAnsi="Times New Roman"/>
                      <w:sz w:val="20"/>
                      <w:szCs w:val="20"/>
                    </w:rPr>
                    <w:t>-water dispersion onto the PMMA-acetone solution to coagulate the porous PMMA matrix. Incorporation of the titania directly into the PMMA-acetone solution prior to coagulation with distilled water, produces porous composite photocatalytic materials with a higher titania to PMMA ratio and reduced titania loss during sample preparation and initial photocatalytic use. Photocatalytic activity was evaluated by the decolorization of the organic dye methyl orange. Samples prepared by adding the titania directly to the PMMA-acetone solution have 50% greater photocatalytic degradation rates than those prepared with titania incorporated into the water spray when comparable amounts of titania are used. These new materials are thus more photocatalytically active and possess a higher titania retention ability than the previous materials, and will enable the production of more efficient photocatalytic reactor systems.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2358200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antimicrobial evaluation of an α-methylalanine analog of puromycin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Carolina Moracho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carolinamoracho.3@gmail.com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Carolina Moracho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Amy R. Messersmith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Blair Weaver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Brent D. Feske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Giuseppe Gumina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Presbyterian College School of Pharmacy, Laurens, SC, United States. </w:t>
                  </w:r>
                  <w:r w:rsidRPr="001F5B5C">
                    <w:rPr>
                      <w:rFonts w:ascii="Times New Roman" w:eastAsia="Times New Roman" w:hAnsi="Times New Roman"/>
                      <w:sz w:val="20"/>
                      <w:szCs w:val="20"/>
                    </w:rPr>
                    <w:br/>
                    <w:t xml:space="preserve">2. Armstrong State University, Savannah,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peptidyl nucleoside antibiotic puromycin has been used to probe the active conformation of peptidyl transferase, the catalytic core of the ribosome. It is generally accepted that ribosomes catalyze the incorporation of L-amino acids into proteins in stereospecific fashion, and puromycin analogs bearing the natural configuration at the aminoacyl moiety are generally active, whereas a D-like configuration produces inactive analogs. However, chiral discrimination during translation is not uniquely associated with the geometry of peptidyl transferase, and recent studies point to an unexpected plasticity of its catalytic center. In order to probe this plasticity, we designed and synthesized a nonchiral α-methylalanine analog of puromycin where a methyl group replaces the α-hydrogen of alanine. Evaluation of the title compound on </w:t>
                  </w:r>
                  <w:r w:rsidRPr="001F5B5C">
                    <w:rPr>
                      <w:rFonts w:ascii="Times New Roman" w:eastAsia="Times New Roman" w:hAnsi="Times New Roman"/>
                      <w:i/>
                      <w:iCs/>
                      <w:sz w:val="20"/>
                      <w:szCs w:val="20"/>
                    </w:rPr>
                    <w:t>Staphylococcus Epidermidis</w:t>
                  </w:r>
                  <w:r w:rsidRPr="001F5B5C">
                    <w:rPr>
                      <w:rFonts w:ascii="Times New Roman" w:eastAsia="Times New Roman" w:hAnsi="Times New Roman"/>
                      <w:sz w:val="20"/>
                      <w:szCs w:val="20"/>
                    </w:rPr>
                    <w:t xml:space="preserve"> and multi-drug resistance </w:t>
                  </w:r>
                  <w:r w:rsidRPr="001F5B5C">
                    <w:rPr>
                      <w:rFonts w:ascii="Times New Roman" w:eastAsia="Times New Roman" w:hAnsi="Times New Roman"/>
                      <w:i/>
                      <w:iCs/>
                      <w:sz w:val="20"/>
                      <w:szCs w:val="20"/>
                    </w:rPr>
                    <w:t>Staphylococcus Aureus</w:t>
                  </w:r>
                  <w:r w:rsidRPr="001F5B5C">
                    <w:rPr>
                      <w:rFonts w:ascii="Times New Roman" w:eastAsia="Times New Roman" w:hAnsi="Times New Roman"/>
                      <w:sz w:val="20"/>
                      <w:szCs w:val="20"/>
                    </w:rPr>
                    <w:t xml:space="preserve"> cells is in progress and results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1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2358341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Effectiveness of various visual cues included in video instruction on pre-laboratory preparation in the general chemistry laboratory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Alexis Helton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ahelton1@uab.edu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Mitzy A. Erdmann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Alexis A. Helton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Joe March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Catherine F. Black</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Alabama at Birmingham, Birmingham,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increased use of video instruction in introductory laboratories requires understanding how students use the videos to prepare for the laboratory. Video can be watched passively, so strategies to increase engagement are expected to improve pre-laboratory preparation. A control/treatment experimental design was implemented to determine whether visual cues embedded within the videos increase the number of key terms and ideas that are recorded in the laboratory notebook. Qualitative examination of the notebooks was also implemented to assess whether the recorded information was expected to be useful in the completion of the laboratory. Three visual cues were implemented throughout the term: no visual cue, a simple icon, and a text box. Differences in the quality of pre-laboratory notes recorded in student laboratory notebooks were scored according to a rubric and compared based on which version of the video they were assigned for the week. This poster will present the results of the statistical analysis and will aim to increase knowledge on best practices for video instruction.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2360115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 Comparison of Interaction Energies in 2-Cyano-1-methylpyridinium Salts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Francesca Vaccaro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favaccar@loyno.edu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Francesca Vaccaro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Olivier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Mary Claire Kramer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Kevin Riley</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Joel T. Mague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Lynn V. Koplitz</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Loyola University New Orleans, New Orleans, LA, United States. </w:t>
                  </w:r>
                  <w:r w:rsidRPr="001F5B5C">
                    <w:rPr>
                      <w:rFonts w:ascii="Times New Roman" w:eastAsia="Times New Roman" w:hAnsi="Times New Roman"/>
                      <w:sz w:val="20"/>
                      <w:szCs w:val="20"/>
                    </w:rPr>
                    <w:br/>
                    <w:t xml:space="preserve">2. Tulane Univ, New Orleans, LA, United States. </w:t>
                  </w:r>
                  <w:r w:rsidRPr="001F5B5C">
                    <w:rPr>
                      <w:rFonts w:ascii="Times New Roman" w:eastAsia="Times New Roman" w:hAnsi="Times New Roman"/>
                      <w:sz w:val="20"/>
                      <w:szCs w:val="20"/>
                    </w:rPr>
                    <w:br/>
                    <w:t xml:space="preserve">3. Chemistry, Xavier University, New Orleans,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series of 2-cyano-1-methylpyridinium salts was synthesized. Following crystal growth, their crystal structures were determined using single crystal X-ray diffraction. In order to learn more about how different types of non-covalent forces contribute to the various architectures observed in these compounds, the interaction energies between ions in each salt were calculated using density functional theory with GAUSSIAN09. These energies were further analyzed using Symmetry Adapted Perturbation Theory (SAPT) calculations. Computationally optimized vs. experimentally observed ion pair geometries, along with other interesting results across the family of compounds, will be presented. Anions studied to date include halides, nitrate, tetrafluoroborate, perchlorate and hexafluorophosphate.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2361678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GPR88 Modeling and Antagonist Discovery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Emma Jackson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jaceg-16@rhodes.edu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Emma Jackson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Abby L. Parrill-Baker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Rhodes College, Nashville, TN, United States. </w:t>
                  </w:r>
                  <w:r w:rsidRPr="001F5B5C">
                    <w:rPr>
                      <w:rFonts w:ascii="Times New Roman" w:eastAsia="Times New Roman" w:hAnsi="Times New Roman"/>
                      <w:sz w:val="20"/>
                      <w:szCs w:val="20"/>
                    </w:rPr>
                    <w:br/>
                    <w:t xml:space="preserve">2. The University of Memphis,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GPR88 is an orphan GPCR that is emerging as a therapeutic target for the treatment of schizophrenia and bipolar disorder. Studies have shown that inhibiting GPR88 is a possible way of treating schizophrenia and bipolar disorder. Currently there are no known antagonists that act on GPR88 to be tested as treatments for schizophrenia and bipolar disorder. Current treatments for these diseases have proven to not be fully effective and also produce unwanted side effects in patients. Using GPR88 as a target for treating schizophrenia and bipolar disorder would provide a more targeted treatment with potentially fewer side effects because GPR88 is only found in the striatum. A homology model of GPR88 using the PDB entry 2VT4 as a template was created and displayed interactions with known synthetic agonists that were consistent with potency trends. Because of the length of time to get a new pharmaceutical on the market in the absence of prior studies in humans, approved pharmaceuticals for other indication were examined for potential repurposing for the treatment of schizophrenia and bipolar disorder. A set of 187 approved pharmaceuticals was docked into the GPR88 homology model to test for binding to the receptor. Pharmaceuticals with the best results were then examined for potential side effects as well as their current use. A prioritized list based on computational screening results was created to guide future experimental screening for GPR88 antagonists.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2362444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Telomere Fragments from Various Apoptotic Cancer Cell Lines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Majd Habash | Priyanka Patel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mhabash@bsc.edu | pkpatel@bsc.edu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Majd Habash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Priyanka Patel</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Birmingham Southern College, Birmingham,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this study, magnetic bead capture was used to determine whether differences exist in the telomere fragmentation pattern of various breast cancer cell lines ranging from normal healthy cells to precancerous stage 1- stage 4 during apoptosis. Streptavidin coated magnetic beads, in conjunction with biotin labeled PNAs, were used to measure the amount of telomeric DNA captured. In addition, fragment lengths and sequencing were analyzed using a sequencing facility. The results of these procedures will provide both qualitative and quantitative characteristics of the telomeric fragments released from the various cancer stage cell lines. This information could eventually give insight into disease progression and possible stage diagnosis for breast cancer. Furthermore, this study could be conducted with different types of cancer cell lines to determine whether the findings can be generalized to all types of cancers.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2363485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Heat-Reflecting Window Coatings: Improved Design with Novel Materials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Jennifer Zou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zou16j@ncssm.edu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Jennifer Zou</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North Carolina School of Science and Mathematics, Chapel Hill,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Optical filters for window coatings, composed of alternating layers of dielectric and metallic materials, are designed to achieve heat-reflecting properties, through the reflection of infrared light (&gt;750 nm) while maintaining high transparency of visible light (380-750 nm). The performance of a 7-layer structure composed of alternating materials, indium tin oxide (ITO) and silver (Ag</w:t>
                  </w:r>
                  <w:proofErr w:type="gramStart"/>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 xml:space="preserve"> was simulated using a finite-difference time-domain (FDTD) solver in the range of 300 to 1500 nm. Comparison to experimental optical filter performance demonstrated great agreement, validating our model [1]. We then substituted the silver layers with an idealized metal (M1)—a material with an electron concentration </w:t>
                  </w:r>
                  <w:proofErr w:type="gramStart"/>
                  <w:r w:rsidRPr="001F5B5C">
                    <w:rPr>
                      <w:rFonts w:ascii="Times New Roman" w:eastAsia="Times New Roman" w:hAnsi="Times New Roman"/>
                      <w:sz w:val="20"/>
                      <w:szCs w:val="20"/>
                    </w:rPr>
                    <w:t>of 5x10</w:t>
                  </w:r>
                  <w:r w:rsidRPr="001F5B5C">
                    <w:rPr>
                      <w:rFonts w:ascii="Times New Roman" w:eastAsia="Times New Roman" w:hAnsi="Times New Roman"/>
                      <w:sz w:val="20"/>
                      <w:szCs w:val="20"/>
                      <w:vertAlign w:val="superscript"/>
                    </w:rPr>
                    <w:t>14</w:t>
                  </w:r>
                  <w:r w:rsidRPr="001F5B5C">
                    <w:rPr>
                      <w:rFonts w:ascii="Times New Roman" w:eastAsia="Times New Roman" w:hAnsi="Times New Roman"/>
                      <w:sz w:val="20"/>
                      <w:szCs w:val="20"/>
                    </w:rPr>
                    <w:t xml:space="preserve"> electrons/cm</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and analyzed the performance of the two optical filters. The 7-layer structure with the new material (M1) attained an integrated visible transmission value 38% higher than the traditional filter in the visible spectra (380-750 nm). Furthermore, we optimized the performances of 5-layer ITO/Ag and ITO/M1 optical filters by varying the metal layer thicknesses. We found that the ITO/M1 device displayed higher visible transmission values and comparable infrared reflection values across a wide range of layer thicknesses, suggesting that the ITO/M1 is more reliable. Similarly, optimized 3-layer ITO/Ag and ITO/M1 optical filters demonstrated significantly higher and more consistent visible transmission values across various metal thicknesses. We demonstrate the improved performance of heat-reflecting window coating structures by substituting traditional silver with our idealized metal.</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[1] Hood et al, Color-Corrected Heat-Reflecting Composite Films and Glazing Products Containing the Same. U.S. Patent 5,071,206, Dec 10, 1991.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Protein Modeling using 3D Printing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Sara Cuellar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mealynncuellar44@gmail.com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Sara Cuellar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Davion Oliver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Terrence Neumann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Biochemistry, Texas Wesleyan University, Fort Worth,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an effort to help illustrate abstract concepts to students, an increasing number of schools and universities are incorporating commercial 3D printers into course curriculum to bolster the development of teaching tools. Due to a steep learning curve and the often complex multi-step file conversions required, however, users can be disappointed with the initial results of 3D printing.</w:t>
                  </w:r>
                  <w:r w:rsidRPr="001F5B5C">
                    <w:rPr>
                      <w:rFonts w:ascii="Times New Roman" w:eastAsia="Times New Roman" w:hAnsi="Times New Roman"/>
                      <w:sz w:val="20"/>
                      <w:szCs w:val="20"/>
                    </w:rPr>
                    <w:br/>
                    <w:t>At Texas Wesleyan University, High school students—supported by the American Chemical Society’s Project SEED program—developed a single-step procedure to convert Protein Data Bank (.pdb) files into 3D-printed objects. Using Chimera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 structure describing dihydrofolate reductase (DHFR) was prepared and successfully printed.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This simple process is a vast improvement over other published, multi-step protocols.</w:t>
                  </w:r>
                  <w:r w:rsidRPr="001F5B5C">
                    <w:rPr>
                      <w:rFonts w:ascii="Times New Roman" w:eastAsia="Times New Roman" w:hAnsi="Times New Roman"/>
                      <w:sz w:val="20"/>
                      <w:szCs w:val="20"/>
                    </w:rPr>
                    <w:br/>
                    <w:t>DHFR is a focal point of biochemistry curriculum at Texas Wesleyan University, used to convey vital biochemical concepts in both the lecture and lab environments. DHFR is an essential enzyme found in all organisms. It is necessary for cell proliferation, growth and replication.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xml:space="preserve"> DHFR catalyzes the conversion of dihydrofolate to tetrahydrofolate—an important precursor in purine, thymidylic acid and amino acid synthesis. DHFR is an active drug target with prescriptive antibiotic and chemotherapy agents to treat bacterial infections and cancer, respectively.</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References</w:t>
                  </w:r>
                  <w:r w:rsidRPr="001F5B5C">
                    <w:rPr>
                      <w:rFonts w:ascii="Times New Roman" w:eastAsia="Times New Roman" w:hAnsi="Times New Roman"/>
                      <w:sz w:val="20"/>
                      <w:szCs w:val="20"/>
                    </w:rPr>
                    <w:br/>
                    <w:t xml:space="preserve">1. Pettersen, E. F., Goddard, T. D., Huang, C. C., Couch, G. S., Greenblatt, D. M., Meng, E. C., Ferrin, T. E. UCSF Chimera—a visualization system for exploratory research and analysis. </w:t>
                  </w:r>
                  <w:r w:rsidRPr="001F5B5C">
                    <w:rPr>
                      <w:rFonts w:ascii="Times New Roman" w:eastAsia="Times New Roman" w:hAnsi="Times New Roman"/>
                      <w:i/>
                      <w:iCs/>
                      <w:sz w:val="20"/>
                      <w:szCs w:val="20"/>
                    </w:rPr>
                    <w:t>J. Comput. Chem.</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2004</w:t>
                  </w:r>
                  <w:r w:rsidRPr="001F5B5C">
                    <w:rPr>
                      <w:rFonts w:ascii="Times New Roman" w:eastAsia="Times New Roman" w:hAnsi="Times New Roman"/>
                      <w:sz w:val="20"/>
                      <w:szCs w:val="20"/>
                    </w:rPr>
                    <w:t>, 25, 1605-1612.</w:t>
                  </w:r>
                  <w:r w:rsidRPr="001F5B5C">
                    <w:rPr>
                      <w:rFonts w:ascii="Times New Roman" w:eastAsia="Times New Roman" w:hAnsi="Times New Roman"/>
                      <w:sz w:val="20"/>
                      <w:szCs w:val="20"/>
                    </w:rPr>
                    <w:br/>
                    <w:t xml:space="preserve">2. Heaslet, H., Harris, M., Fahnoe, K., Sarver, R., Putz, H., Chang, J., Subramanyam, C., Barreiro, G., Miller, J. R. Structural comparison of chromosomal and exogenous dihydrofolate reductase from Staphylococcus aureus in complex with the potent inhibitor trimethoprim. </w:t>
                  </w:r>
                  <w:r w:rsidRPr="001F5B5C">
                    <w:rPr>
                      <w:rFonts w:ascii="Times New Roman" w:eastAsia="Times New Roman" w:hAnsi="Times New Roman"/>
                      <w:i/>
                      <w:iCs/>
                      <w:sz w:val="20"/>
                      <w:szCs w:val="20"/>
                    </w:rPr>
                    <w:t xml:space="preserve">Proteins: </w:t>
                  </w:r>
                  <w:proofErr w:type="gramStart"/>
                  <w:r w:rsidRPr="001F5B5C">
                    <w:rPr>
                      <w:rFonts w:ascii="Times New Roman" w:eastAsia="Times New Roman" w:hAnsi="Times New Roman"/>
                      <w:i/>
                      <w:iCs/>
                      <w:sz w:val="20"/>
                      <w:szCs w:val="20"/>
                    </w:rPr>
                    <w:t>Struct.,</w:t>
                  </w:r>
                  <w:proofErr w:type="gramEnd"/>
                  <w:r w:rsidRPr="001F5B5C">
                    <w:rPr>
                      <w:rFonts w:ascii="Times New Roman" w:eastAsia="Times New Roman" w:hAnsi="Times New Roman"/>
                      <w:i/>
                      <w:iCs/>
                      <w:sz w:val="20"/>
                      <w:szCs w:val="20"/>
                    </w:rPr>
                    <w:t xml:space="preserve"> Funct., Bioinf.,</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2009</w:t>
                  </w:r>
                  <w:r w:rsidRPr="001F5B5C">
                    <w:rPr>
                      <w:rFonts w:ascii="Times New Roman" w:eastAsia="Times New Roman" w:hAnsi="Times New Roman"/>
                      <w:sz w:val="20"/>
                      <w:szCs w:val="20"/>
                    </w:rPr>
                    <w:t>, 76, 706-717.</w:t>
                  </w:r>
                  <w:r w:rsidRPr="001F5B5C">
                    <w:rPr>
                      <w:rFonts w:ascii="Times New Roman" w:eastAsia="Times New Roman" w:hAnsi="Times New Roman"/>
                      <w:sz w:val="20"/>
                      <w:szCs w:val="20"/>
                    </w:rPr>
                    <w:br/>
                    <w:t xml:space="preserve">3. Schnell, J. R., Dyson, H. J., Wright, P. E. Structure, dynamics, and catalytic function of dihydrofolate reductase. </w:t>
                  </w:r>
                  <w:r w:rsidRPr="001F5B5C">
                    <w:rPr>
                      <w:rFonts w:ascii="Times New Roman" w:eastAsia="Times New Roman" w:hAnsi="Times New Roman"/>
                      <w:i/>
                      <w:iCs/>
                      <w:sz w:val="20"/>
                      <w:szCs w:val="20"/>
                    </w:rPr>
                    <w:t xml:space="preserve">Annu. Rev. Biophys. Biomol. </w:t>
                  </w:r>
                  <w:proofErr w:type="gramStart"/>
                  <w:r w:rsidRPr="001F5B5C">
                    <w:rPr>
                      <w:rFonts w:ascii="Times New Roman" w:eastAsia="Times New Roman" w:hAnsi="Times New Roman"/>
                      <w:i/>
                      <w:iCs/>
                      <w:sz w:val="20"/>
                      <w:szCs w:val="20"/>
                    </w:rPr>
                    <w:t>Struct.</w:t>
                  </w:r>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2004</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33</w:t>
                  </w:r>
                  <w:r w:rsidRPr="001F5B5C">
                    <w:rPr>
                      <w:rFonts w:ascii="Times New Roman" w:eastAsia="Times New Roman" w:hAnsi="Times New Roman"/>
                      <w:sz w:val="20"/>
                      <w:szCs w:val="20"/>
                    </w:rPr>
                    <w:t>, 119-140.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2366943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Characterization of Novel Polyamide Thin Film Composite Reverse Osmosis Water Desalination Membranes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Symone Jackson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symone113@gmail.com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Symone Jackson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Ophelia Wadsworth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Natalie Arnett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Fisk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synthesis and characterization of Novel Polyamide Thin-Film Composite (TFC) Reverse Osmosis Membranes using various synthesized and purchased diamines is described in this presentation. Purchased amines used in this research included m-Phenylenediamine (m-PD) and melamine, while synthesized monomers were prepared from the reactions of m-PD with cyanuric chloride (3-TAPTT) as well as m-aminophenol (mAP) with dichlorodiphenylsulfone (DCDPS). Each amine compound was dissolved in water and reacted via interfacial polymerization with trimesoyl chloride (TMC) in dodecane to form the desired TFC membrane.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HNMR showed the successful synthesis of 3-TAPTT monomer by the appearance of the peaks at 4.0 ppm and 5.77 that correlates to the proton on the N-H group and on the carbon adjacent to the N-H group. ATR-FTIR showed successful synthesis of the all polyamide membranes with the appearance of peaks between 1638 -1685 cm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Water permeation and salt rejection of the membranes will be determined via crossflow filtration at the University of Texas at Austin.</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2366950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Phosphonated Biphenol Precursors for Polymer Composite Membranes for Fuel Cell Applications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Justin Smith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justin.smith1095@gmail.com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Justin A.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Tiffany N. Thompson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Natalie Arnett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Fisk University, Nassau, New Providence, Bahamas.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current study describes the synthesis and characterization of a phosphonated biphenol precursor (PBP) to be used in </w:t>
                  </w:r>
                  <w:proofErr w:type="gramStart"/>
                  <w:r w:rsidRPr="001F5B5C">
                    <w:rPr>
                      <w:rFonts w:ascii="Times New Roman" w:eastAsia="Times New Roman" w:hAnsi="Times New Roman"/>
                      <w:sz w:val="20"/>
                      <w:szCs w:val="20"/>
                    </w:rPr>
                    <w:t>poly(</w:t>
                  </w:r>
                  <w:proofErr w:type="gramEnd"/>
                  <w:r w:rsidRPr="001F5B5C">
                    <w:rPr>
                      <w:rFonts w:ascii="Times New Roman" w:eastAsia="Times New Roman" w:hAnsi="Times New Roman"/>
                      <w:sz w:val="20"/>
                      <w:szCs w:val="20"/>
                    </w:rPr>
                    <w:t xml:space="preserve">arylene ether sulfone) copolymers for application as proton exchange membranes in fuel cells. PBP was synthesized by reacting biphenol with triethylphosphite in the presence of bromine and zinc bromide followed by acid hydrolysis. The successful synthesis of PBP was confirmed using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 NMR and </w:t>
                  </w:r>
                  <w:r w:rsidRPr="001F5B5C">
                    <w:rPr>
                      <w:rFonts w:ascii="Times New Roman" w:eastAsia="Times New Roman" w:hAnsi="Times New Roman"/>
                      <w:sz w:val="20"/>
                      <w:szCs w:val="20"/>
                      <w:vertAlign w:val="superscript"/>
                    </w:rPr>
                    <w:t>31</w:t>
                  </w:r>
                  <w:r w:rsidRPr="001F5B5C">
                    <w:rPr>
                      <w:rFonts w:ascii="Times New Roman" w:eastAsia="Times New Roman" w:hAnsi="Times New Roman"/>
                      <w:sz w:val="20"/>
                      <w:szCs w:val="20"/>
                    </w:rPr>
                    <w:t>P NMR through the appearance of peaks at 12 ppm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 NMR), signifying the O-H proton of the phosphonic acid moeity, and 2.6 ppm (</w:t>
                  </w:r>
                  <w:r w:rsidRPr="001F5B5C">
                    <w:rPr>
                      <w:rFonts w:ascii="Times New Roman" w:eastAsia="Times New Roman" w:hAnsi="Times New Roman"/>
                      <w:sz w:val="20"/>
                      <w:szCs w:val="20"/>
                      <w:vertAlign w:val="superscript"/>
                    </w:rPr>
                    <w:t>31</w:t>
                  </w:r>
                  <w:r w:rsidRPr="001F5B5C">
                    <w:rPr>
                      <w:rFonts w:ascii="Times New Roman" w:eastAsia="Times New Roman" w:hAnsi="Times New Roman"/>
                      <w:sz w:val="20"/>
                      <w:szCs w:val="20"/>
                    </w:rPr>
                    <w:t>P NMR) for the phosphorous in the phosphonic acid moeity of the PBP molecule.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2366965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Characterization of Novel Polyamide Thin Film Composite Reverse Osmosis Water Desalination Membranes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Rodayne Williams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rodaynejwilliams@gmail.com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Rodayne Williams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Ophelia Wadsworth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Natalie Arnett</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Fisk University, Nashville, TN, United States. </w:t>
                  </w:r>
                  <w:r w:rsidRPr="001F5B5C">
                    <w:rPr>
                      <w:rFonts w:ascii="Times New Roman" w:eastAsia="Times New Roman" w:hAnsi="Times New Roman"/>
                      <w:sz w:val="20"/>
                      <w:szCs w:val="20"/>
                    </w:rPr>
                    <w:br/>
                    <w:t xml:space="preserve">2. Department of Chemistry, Fisk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Polyamide thin film composites (TFC) are the most widely used membranes in desalination. TFCs for reverse osmosis (RO) desalination are multilayered membranes comprised of ultra-thin skin polyamide top layer (20-100 nm) on top of a polysulfone porous support and reinforced by a non-woven fabric. The polyamide top layer is formed via interfacial polymerization of a</w:t>
                  </w:r>
                  <w:r w:rsidRPr="001F5B5C">
                    <w:rPr>
                      <w:rFonts w:ascii="Times New Roman" w:eastAsia="Times New Roman" w:hAnsi="Times New Roman"/>
                      <w:i/>
                      <w:iCs/>
                      <w:sz w:val="20"/>
                      <w:szCs w:val="20"/>
                    </w:rPr>
                    <w:t xml:space="preserve"> </w:t>
                  </w:r>
                  <w:r w:rsidRPr="001F5B5C">
                    <w:rPr>
                      <w:rFonts w:ascii="Times New Roman" w:eastAsia="Times New Roman" w:hAnsi="Times New Roman"/>
                      <w:sz w:val="20"/>
                      <w:szCs w:val="20"/>
                    </w:rPr>
                    <w:t xml:space="preserve">diamine (e.g. </w:t>
                  </w:r>
                  <w:r w:rsidRPr="001F5B5C">
                    <w:rPr>
                      <w:rFonts w:ascii="Times New Roman" w:eastAsia="Times New Roman" w:hAnsi="Times New Roman"/>
                      <w:i/>
                      <w:iCs/>
                      <w:sz w:val="20"/>
                      <w:szCs w:val="20"/>
                    </w:rPr>
                    <w:t>m</w:t>
                  </w:r>
                  <w:r w:rsidRPr="001F5B5C">
                    <w:rPr>
                      <w:rFonts w:ascii="Times New Roman" w:eastAsia="Times New Roman" w:hAnsi="Times New Roman"/>
                      <w:sz w:val="20"/>
                      <w:szCs w:val="20"/>
                    </w:rPr>
                    <w:t>-phenylene diamine, MPD) in aqueous phase and di- or –tri- chloride (e.g. trimesoyl chloride, TMC) in organic phase. TFC membranes offer additional advantages such as high selectivity and fluxes, enhanced stability over larger pH range and higher temperatures, and reduced fouling. The major limitation of polyamide TFC membranes is their sensitivity to chlorine which has been proposed to degrade by chlorination first undergoing N-chlorination through chlorine attack on amidic nitrogen followed by ring chlorination through intermolecular rearrangement.</w:t>
                  </w:r>
                  <w:r w:rsidRPr="001F5B5C">
                    <w:rPr>
                      <w:rFonts w:ascii="Times New Roman" w:eastAsia="Times New Roman" w:hAnsi="Times New Roman"/>
                      <w:sz w:val="20"/>
                      <w:szCs w:val="20"/>
                    </w:rPr>
                    <w:br/>
                    <w:t>The purpose of this research was to prepare various TFC membranes using both purchased and synthesized diamine monomers and trimesoyl chloride (TMC) with improved water performance. The synthesized monomers prepared included: 3,3 Disulfonic acid – bis[4-(3-aminophenoxy)phenyl]sulfone (SA-DADPS) and 4 – aminophenyl – 1,3,5 – Triazine – 2,4,6 – Triamine (4-ATT) interfacial polymerization occurred at room temperature. Infrared Attenuated Total Reflectance (IR ATR) verified polymer synthesis by the appearance of the amide peak at 1580-1585 cm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salt rejection and chlorine tolerance tests will be carried elucidate the water performance characteristics of the membranes.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2366966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Characterization of Biphenol based Monochloro-1</w:t>
                  </w:r>
                  <w:proofErr w:type="gramStart"/>
                  <w:r w:rsidRPr="001F5B5C">
                    <w:rPr>
                      <w:rFonts w:ascii="Times New Roman" w:eastAsia="Times New Roman" w:hAnsi="Times New Roman"/>
                      <w:sz w:val="20"/>
                      <w:szCs w:val="20"/>
                    </w:rPr>
                    <w:t>,3,5</w:t>
                  </w:r>
                  <w:proofErr w:type="gramEnd"/>
                  <w:r w:rsidRPr="001F5B5C">
                    <w:rPr>
                      <w:rFonts w:ascii="Times New Roman" w:eastAsia="Times New Roman" w:hAnsi="Times New Roman"/>
                      <w:sz w:val="20"/>
                      <w:szCs w:val="20"/>
                    </w:rPr>
                    <w:t>-Triazine (BP-TT) Monomer Precursors for Disulfonated Poly(arylene ether sulfone) Hybrid Copolymer Preparation.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joel wallace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joelwallace.ua@gmail.com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joel wallace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Natalie Arnett</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Life in physical, Fisk University, Queens, NY, United States. </w:t>
                  </w:r>
                  <w:r w:rsidRPr="001F5B5C">
                    <w:rPr>
                      <w:rFonts w:ascii="Times New Roman" w:eastAsia="Times New Roman" w:hAnsi="Times New Roman"/>
                      <w:sz w:val="20"/>
                      <w:szCs w:val="20"/>
                    </w:rPr>
                    <w:br/>
                    <w:t xml:space="preserve">2. Department of </w:t>
                  </w:r>
                  <w:proofErr w:type="gramStart"/>
                  <w:r w:rsidRPr="001F5B5C">
                    <w:rPr>
                      <w:rFonts w:ascii="Times New Roman" w:eastAsia="Times New Roman" w:hAnsi="Times New Roman"/>
                      <w:sz w:val="20"/>
                      <w:szCs w:val="20"/>
                    </w:rPr>
                    <w:t>Chemistry ,</w:t>
                  </w:r>
                  <w:proofErr w:type="gramEnd"/>
                  <w:r w:rsidRPr="001F5B5C">
                    <w:rPr>
                      <w:rFonts w:ascii="Times New Roman" w:eastAsia="Times New Roman" w:hAnsi="Times New Roman"/>
                      <w:sz w:val="20"/>
                      <w:szCs w:val="20"/>
                    </w:rPr>
                    <w:t xml:space="preserve"> Fisk University , Nashville ,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Fuel Cell is a device that converts the chemical energy of a substance into electrical energy. Fuel cell’s advantage over the conventional types of energy is that it does not produce carbon dioxide as a byproduct. Hydrogen is most often used as a source of chemical energy and therefore the only products of the reaction are water and heat. Currently the most widely used membranes </w:t>
                  </w:r>
                  <w:proofErr w:type="gramStart"/>
                  <w:r w:rsidRPr="001F5B5C">
                    <w:rPr>
                      <w:rFonts w:ascii="Times New Roman" w:eastAsia="Times New Roman" w:hAnsi="Times New Roman"/>
                      <w:sz w:val="20"/>
                      <w:szCs w:val="20"/>
                    </w:rPr>
                    <w:t>is</w:t>
                  </w:r>
                  <w:proofErr w:type="gramEnd"/>
                  <w:r w:rsidRPr="001F5B5C">
                    <w:rPr>
                      <w:rFonts w:ascii="Times New Roman" w:eastAsia="Times New Roman" w:hAnsi="Times New Roman"/>
                      <w:sz w:val="20"/>
                      <w:szCs w:val="20"/>
                    </w:rPr>
                    <w:t xml:space="preserve"> Nafion®, a perfluorinated sulfonic acid copolymer. Perfluorinated membranes are costly to produce and perform the most efficiently at temperatures 100</w:t>
                  </w:r>
                  <w:r w:rsidRPr="001F5B5C">
                    <w:rPr>
                      <w:rFonts w:ascii="Cambria Math" w:eastAsia="Times New Roman" w:hAnsi="Cambria Math" w:cs="Cambria Math"/>
                      <w:i/>
                      <w:iCs/>
                      <w:sz w:val="20"/>
                      <w:szCs w:val="20"/>
                    </w:rPr>
                    <w:t>℃</w:t>
                  </w:r>
                  <w:r w:rsidRPr="001F5B5C">
                    <w:rPr>
                      <w:rFonts w:ascii="Times New Roman" w:eastAsia="Times New Roman" w:hAnsi="Times New Roman"/>
                      <w:sz w:val="20"/>
                      <w:szCs w:val="20"/>
                    </w:rPr>
                    <w:t xml:space="preserve"> and above. </w:t>
                  </w:r>
                  <w:proofErr w:type="gramStart"/>
                  <w:r w:rsidRPr="001F5B5C">
                    <w:rPr>
                      <w:rFonts w:ascii="Times New Roman" w:eastAsia="Times New Roman" w:hAnsi="Times New Roman"/>
                      <w:sz w:val="20"/>
                      <w:szCs w:val="20"/>
                    </w:rPr>
                    <w:t>Poly(</w:t>
                  </w:r>
                  <w:proofErr w:type="gramEnd"/>
                  <w:r w:rsidRPr="001F5B5C">
                    <w:rPr>
                      <w:rFonts w:ascii="Times New Roman" w:eastAsia="Times New Roman" w:hAnsi="Times New Roman"/>
                      <w:sz w:val="20"/>
                      <w:szCs w:val="20"/>
                    </w:rPr>
                    <w:t>arylene ether sulfone) copolymers can be place in the membrane as a better alternative. Our research consists of the synthesis of monochloro-1</w:t>
                  </w:r>
                  <w:proofErr w:type="gramStart"/>
                  <w:r w:rsidRPr="001F5B5C">
                    <w:rPr>
                      <w:rFonts w:ascii="Times New Roman" w:eastAsia="Times New Roman" w:hAnsi="Times New Roman"/>
                      <w:sz w:val="20"/>
                      <w:szCs w:val="20"/>
                    </w:rPr>
                    <w:t>,3,5</w:t>
                  </w:r>
                  <w:proofErr w:type="gramEnd"/>
                  <w:r w:rsidRPr="001F5B5C">
                    <w:rPr>
                      <w:rFonts w:ascii="Times New Roman" w:eastAsia="Times New Roman" w:hAnsi="Times New Roman"/>
                      <w:sz w:val="20"/>
                      <w:szCs w:val="20"/>
                    </w:rPr>
                    <w:t>-triazine (BP-TT) hybrid monomer using biphenol and cyanuric chloride. BP-TT monomer will be used to polymerize. The successful synthesis of BP-TT monomer was demonstrated using 1HNMR due to the appearance of intense peak at 7.25 ppm, which shows that there is a linkage between the cyanuric chloride and biphenol.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2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2366970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Hydroquinone based Poly(arylene ether sulfone)-</w:t>
                  </w:r>
                  <w:r w:rsidRPr="001F5B5C">
                    <w:rPr>
                      <w:rFonts w:ascii="Times New Roman" w:eastAsia="Times New Roman" w:hAnsi="Times New Roman"/>
                      <w:b/>
                      <w:bCs/>
                      <w:sz w:val="20"/>
                      <w:szCs w:val="20"/>
                    </w:rPr>
                    <w:t>2,4,6-monochloro-1,3,5-triazine</w:t>
                  </w:r>
                  <w:r w:rsidRPr="001F5B5C">
                    <w:rPr>
                      <w:rFonts w:ascii="Times New Roman" w:eastAsia="Times New Roman" w:hAnsi="Times New Roman"/>
                      <w:sz w:val="20"/>
                      <w:szCs w:val="20"/>
                    </w:rPr>
                    <w:t xml:space="preserve"> Hybrid Coploymers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Jazmin Ewers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jaz014min@yahoo.com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Jazmin Ewers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Natalie Arnett</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Fisk University, Nashville, TN, United States. </w:t>
                  </w:r>
                  <w:r w:rsidRPr="001F5B5C">
                    <w:rPr>
                      <w:rFonts w:ascii="Times New Roman" w:eastAsia="Times New Roman" w:hAnsi="Times New Roman"/>
                      <w:sz w:val="20"/>
                      <w:szCs w:val="20"/>
                    </w:rPr>
                    <w:br/>
                    <w:t xml:space="preserve">2. Fisk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future of clean energy relies on innovative, efficient, and inexpensive technology such as the fuel cells. Currently the polymer electrolyte membrane or proton exchange membrane (PEM) fuel cell is the most commonly used fuel cell despite its high cost and limited operational temperature. The purpose of this research was to synthesize hydroquinone monochloro-1</w:t>
                  </w:r>
                  <w:proofErr w:type="gramStart"/>
                  <w:r w:rsidRPr="001F5B5C">
                    <w:rPr>
                      <w:rFonts w:ascii="Times New Roman" w:eastAsia="Times New Roman" w:hAnsi="Times New Roman"/>
                      <w:sz w:val="20"/>
                      <w:szCs w:val="20"/>
                    </w:rPr>
                    <w:t>,3</w:t>
                  </w:r>
                  <w:proofErr w:type="gramEnd"/>
                  <w:r w:rsidRPr="001F5B5C">
                    <w:rPr>
                      <w:rFonts w:ascii="Times New Roman" w:eastAsia="Times New Roman" w:hAnsi="Times New Roman"/>
                      <w:sz w:val="20"/>
                      <w:szCs w:val="20"/>
                    </w:rPr>
                    <w:t xml:space="preserve">,-triazine (HQ-MT) novel hybrid monomer to be used in the preparation of poly(arylene ether sulfone) (PAES) hybrid copolymers. The objective of incorporating the HQ-MT monomer into the PAES backbone is to have available site for post modification to increase its efficiency in fuel cells. Under current investigation, HQ-MT was synthesized by reacting hydroquinone and cyanuric chloride by a slurry method.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 NMR showed the successful synthesis of HQ-MT monomer by the appearance of peaks at 7.5 and 6.4ppm that signifies the carbon-carbon connection between hydroquinone and cyanuric chloride. </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2367658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pH and salinity dependence of copper leaching from anti-fouling marine paints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Donald Carpenetti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carpenettid@cravencc.edu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Donald W. Carpenetti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Aaliyah C. Martin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Christian Rust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Math &amp; Science, Craven Community College, New Bern,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Anti-fouling paint or bottom paint is a specialized coating applied to the hull of a ship or boat to slow the growth of organisms that attach to the hull and can affect a vessel's performance and durability. One method used to discourage the growth of barnacles, mussels, algae and other marine organisms, is the incorporation of biocides into the paint. Paints containing the biocide tributyl tin were outlawed in the 1990’s due to the tin being highly poisonous to underwater ecosystems. Tin based anti-fouling paints have since been largely replaced by copper based paints. Copper based bottom paints actively leach into the surrounding water to deter the growth of marine organisms, but potentially similar to tin, if the copper levels in the water column reach high enough levels there can be a toxic effect on marine organisms in the water or in bottom sediments. Washington State has passed a ban on the use of copper-based anti-fouling paints on private recreational boats to take effect January 1, 2020. This study evaluates the extent to which copper leaches from a painted surface into surrounding water by analyzing copper concentration over time in a water sample in contact with a painted surface. Also addressed will be how the rate of leaching is influenced by other environmental factors such as the water pH and salinity levels.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2367849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Investigating the effects of disaccharides on bacteria.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Ariel Pinkham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ariel.pinkham@yahoo.com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Ariel Pinkham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Anthony M. Kennedy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Eric Anderson</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East Carolina University, Washington, NC, United States. </w:t>
                  </w:r>
                  <w:r w:rsidRPr="001F5B5C">
                    <w:rPr>
                      <w:rFonts w:ascii="Times New Roman" w:eastAsia="Times New Roman" w:hAnsi="Times New Roman"/>
                      <w:sz w:val="20"/>
                      <w:szCs w:val="20"/>
                    </w:rPr>
                    <w:br/>
                    <w:t xml:space="preserve">2. Mailstop 552, East Carolina University, Greenville, NC, United States. </w:t>
                  </w:r>
                  <w:r w:rsidRPr="001F5B5C">
                    <w:rPr>
                      <w:rFonts w:ascii="Times New Roman" w:eastAsia="Times New Roman" w:hAnsi="Times New Roman"/>
                      <w:sz w:val="20"/>
                      <w:szCs w:val="20"/>
                    </w:rPr>
                    <w:br/>
                    <w:t xml:space="preserve">3. Biology, East Carolina University, Greenville,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Colonies of e-coli were treated with various concentrations of disaccharides and stored at -20 °C. After thawing the survival rate of colonies was determined and the effect of varying sugar hydrophobicity on the survival rate will be discussed. The results of these experiments and experiments to examine bacteria growth at 37°C in varying concentrations of sugars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2367895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Creation of an ELN for Quantitative Analysis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Amber Taylor | Jennifer Van Dyke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ambgtayl@ut.utm.edu | jentvan@ut.utm.edu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Robbie Montgomery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Amber G. Taylor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Jennifer Van Dyke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Martin, Martin, TN, United States. </w:t>
                  </w:r>
                  <w:r w:rsidRPr="001F5B5C">
                    <w:rPr>
                      <w:rFonts w:ascii="Times New Roman" w:eastAsia="Times New Roman" w:hAnsi="Times New Roman"/>
                      <w:sz w:val="20"/>
                      <w:szCs w:val="20"/>
                    </w:rPr>
                    <w:br/>
                    <w:t xml:space="preserve">2. University of Tennessee Martin, Martin,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Using LabArchives an electronic lab notebook (ELN) was created and tested for use in Quantitative Analysis. The advantages and disadvanteges of using an ELN for Quantitative Analysis will be discussed. This includes information into the preparation of the notebook prior to student use and the ease of use by students performing the labs.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2367968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ASU ACS Chapter Community Outreach: Educating Local Students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Cody Anderson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cody.anderson1@astate.smail.edu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Cody Anderson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Hideya Koizumi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&amp; Physics, Arkansas State University, State University,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Aranksas State University ACS chapter is dedicated to spreading the understanding and joy of chemistry to the local college population. Our secondary </w:t>
                  </w:r>
                  <w:proofErr w:type="gramStart"/>
                  <w:r w:rsidRPr="001F5B5C">
                    <w:rPr>
                      <w:rFonts w:ascii="Times New Roman" w:eastAsia="Times New Roman" w:hAnsi="Times New Roman"/>
                      <w:sz w:val="20"/>
                      <w:szCs w:val="20"/>
                    </w:rPr>
                    <w:t>mission,</w:t>
                  </w:r>
                  <w:proofErr w:type="gramEnd"/>
                  <w:r w:rsidRPr="001F5B5C">
                    <w:rPr>
                      <w:rFonts w:ascii="Times New Roman" w:eastAsia="Times New Roman" w:hAnsi="Times New Roman"/>
                      <w:sz w:val="20"/>
                      <w:szCs w:val="20"/>
                    </w:rPr>
                    <w:t xml:space="preserve"> is dedicated to educating and exciting local highschool and elementary students about chemistry and science. Our goal is to excite students to become future scientist and innovators. Several community activities and their sucssess are disscussed.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2368299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Toxic chemical emissions in smoke produced via burning of scrap tires, firewood and liquefied petroleum gasoline as fuel sources for singeing meat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Rachel Barham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maury140@gmail.com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Rachel Barham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Evans Afriyie-Gyawu</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Erskine College, Asheville, NC, United States. </w:t>
                  </w:r>
                  <w:r w:rsidRPr="001F5B5C">
                    <w:rPr>
                      <w:rFonts w:ascii="Times New Roman" w:eastAsia="Times New Roman" w:hAnsi="Times New Roman"/>
                      <w:sz w:val="20"/>
                      <w:szCs w:val="20"/>
                    </w:rPr>
                    <w:br/>
                    <w:t xml:space="preserve">2. Jiann-Ping Hsu College of Public Health, Georgia Southern University, Statesboro,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pilot study was conducted to determine the presence (or lack thereof) and concentrations of toxic chemicals emitted through smoke produced via burning of scrap tires, firewood, and liquefied petroleum gasoline (LPG), which are commonly used as fuels for singeing meat intended for human consumption in Ghana. Benzene, carbon monoxide (CO), and other selected pollutants were characterized through longitudinal analysis. The concentrations of these pollutants were quantified over time, using a Chip Measurement System (a multichannel, analyte-specific, colorimetric quantification technique). This system is field-practical and provides immediate results at time of sampling.</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Analysis was conducted at six different locations in Ghana, where animal carcasses are processed for human consumption. Four locations (slaughterhouses) use tire-derived fuel, and the fifth (mechanized abattoir) uses LPG, while the sixth uses firewood to singe the meat. The levels of pollutants from the tire-based smoke were compared with data from the LPG-derived smoke (control) and WHO standards. Weather conditions such as temperature and humidity were also measured using a hygrometer to determine their potential effect(s) on the chemical composition of the smoke. Other factors that were examined include: the estimated number of tires used at each site per day, the tire brands or sources at each location, the number of operators at each slaughterhouse/abattoir, and the number and species of animals processed at each location per day. These variables were determined by worker surveys, which allowed for field-practical data collections.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Overall, the average benzene levels in smoke produced from burning of scrap tires and firewood were 3.536 and 1.243, respectively. CO concentrations were 128.667 and 130.857 for scrap tires- and firewood-derived smoke, respectively. The pollutant levels of the LPG derived samples were below detectable limits.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The detectable presence of benzene and CO in tire-derived smoke indicates the need for further research and policy. The goal is to create a solid, data-driven policy and generate viable alternatives regarding meat processing in affected countries.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2368306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Flipping pre-labs for organic chemistry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Tiancheng Edwards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eedwards@erskine.edu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Tiancheng Edwards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Tiffany R. Hayden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Erskine College, Due West,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Three hour organic chemistry labs seem daunting to the student and laborious for the instructor. If the pre-lab assignment is given a week beforehand, students often forget key details or forget the entire lab. On the other hand, if pre-lab is given immediately before lab, students tend to be much less prepared. With both scenarios, too much time is wasted in figuring out what is going on in lab. Students are already turning to YouTube® and the internet for lab videos but are confused when the instrumentation and experiment setup doesn’t look exactly the same in lab. This year, we decided to maximize lab time and flip the pre-lab. Short videos were made to introduce lab techniques and to highlight where the experiment might go “wrong” and what to “look” for. The videos are available all year and students can access them multiple times. We are assessing the use and usefulness of the videos through online surveys and pre-lab quizzes.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2368430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Investigating the effect of the dispersant Corexit 9500A on the movement of an oil-in-water emulsion through an Alabama beach sand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Abby Brasher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abrasher1@stu.jsu.edu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Abby B. Brasher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Kelly K. Manley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Alfred C. Nichols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A. Steffy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Physical and Earth Sciences, Jacksonville State University, Jacksonville,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majority of Alabama's 60 miles of beaches were exposed to the crude oil released from the massive 2010 Deepwater Horizon oil spill. To help remediate the spill, BP sprayed the dispersant, Corexit 9500A, over the floating oil in the Gulf and at the subsurface damaged Macondo wellhead. This dispersant could have promoted an oil-in-water emulsion which infiltrated deeper into the exposed beach sand than the oil alone. A series of short column tests of packed beach sand in glass columns simulated the arrival of an oil-in-water emulsion at the beach. Prior to the tests, the oil was subjected to two conditions to volatilize the light hydrocarbons. Fraction 1 (F1) was the crude oil fraction that did not distill below 70 degrees C at 0.86 atm. Fraction 2 (F2) was the crude oil fraction that did not distill below 250 C and 0.86 atm. Using these two fractions, 10 mL of 21% oil-in-water emulsions were loaded on columns containing 20.0 g of dry beach sand. The columns were washed with either 100 mL of salt water or 100 mL of salt water containing Corexit at its critical micelle level of 2%. The emulsion formed from the F2 fraction penetrated deeper into the sand as compared to the F1 fraction. Salt water alone removed only negligible amounts of oil from either fraction. Salt water with Corexit removed 0.14 g of oil from the F1 treatment column and 0.70 g from the F2 column. These results indicate that Corexit would not be an effective agent for beach remediation following a crude oil release.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2368498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Development of 3D Printed Materials for Selective Growth of ZnO Nanorods with Applications in Photovoltaics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Renan Kuntz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renan-kuntz@utulsa.edu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Renan A. Kuntz</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Echo Adcock Smith</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Ken Roberts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Chemical Engineering, University of Tulsa, Tulsa, OK, United States. </w:t>
                  </w:r>
                  <w:r w:rsidRPr="001F5B5C">
                    <w:rPr>
                      <w:rFonts w:ascii="Times New Roman" w:eastAsia="Times New Roman" w:hAnsi="Times New Roman"/>
                      <w:sz w:val="20"/>
                      <w:szCs w:val="20"/>
                    </w:rPr>
                    <w:br/>
                    <w:t xml:space="preserve">2. Dept of Chemistry and Biochemistry, University of Tulsa, Tulsa,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development of solar energy has become increasingly popular over the last few decades with an intense focus to decrease the cost of manufacturing while simultaneously increasing the power conversion efficiency. Our project uses novel approaches to accomplish these goals such as low temperature growth of ZnO nanorods as an n-type material grown on indium tin oxide (ITO). However, ordered growth in localized regions of ITO can be difficult to control. Both carbon tape and photolithography had their advantageous, yet they both left residues and caused concern for contamination. Therefore, we utilized 3D printing to solve the issues of localized growth with minimal contamination. Various filaments printed using the Makerbot Replicator 2X were tested and the results showed promising applications. The structures made from the different materials were tested to withstand heat, high pH, as well as maintain shape during the chemical bath deposition of ZnO nanorods. EDX was used to test for contaminants on the surface of the printed materials as well as the grown rods with the results pointing to zero interference from the printing filament. The design of the sample holders were also shown to somewhat prevent Zn that is sputtered onto the substrate, as well as growth of nanorods, on sections that were masked. Overall, this 3D structure is an improvement over carbon tape and photolithography methods we employed. It is anticipated that using 3D printing to aid in fabricating solar cell devices will expedite their future development.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General Posters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2369010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Nature of Metal Ion Mediated Second Shell Hydrogen Bonds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Nirvan Bhattacharyya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nirvanb@umich.edu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Nirvan Bhattacharyya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James Xiang</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Tony T. Tran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Dhruva K. Chakravorty</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Chemical Engineering, University of Michigan, Saline, MI, United States. </w:t>
                  </w:r>
                  <w:r w:rsidRPr="001F5B5C">
                    <w:rPr>
                      <w:rFonts w:ascii="Times New Roman" w:eastAsia="Times New Roman" w:hAnsi="Times New Roman"/>
                      <w:sz w:val="20"/>
                      <w:szCs w:val="20"/>
                    </w:rPr>
                    <w:br/>
                    <w:t xml:space="preserve">2. Newman High School, New Orleans, LA, United States. </w:t>
                  </w:r>
                  <w:r w:rsidRPr="001F5B5C">
                    <w:rPr>
                      <w:rFonts w:ascii="Times New Roman" w:eastAsia="Times New Roman" w:hAnsi="Times New Roman"/>
                      <w:sz w:val="20"/>
                      <w:szCs w:val="20"/>
                    </w:rPr>
                    <w:br/>
                    <w:t xml:space="preserve">3. Chemistry, University of New Orleans, New Orleans,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We investigate the role of induction effects in a zinc ion mediated second-shell hydrogen bond that plays a critical role in the mechanism of allosteric regulation in the paradigm sensor protein </w:t>
                  </w:r>
                  <w:r w:rsidRPr="001F5B5C">
                    <w:rPr>
                      <w:rFonts w:ascii="Times New Roman" w:eastAsia="Times New Roman" w:hAnsi="Times New Roman"/>
                      <w:i/>
                      <w:iCs/>
                      <w:sz w:val="20"/>
                      <w:szCs w:val="20"/>
                    </w:rPr>
                    <w:t>Staphylococcus aureus</w:t>
                  </w:r>
                  <w:r w:rsidRPr="001F5B5C">
                    <w:rPr>
                      <w:rFonts w:ascii="Times New Roman" w:eastAsia="Times New Roman" w:hAnsi="Times New Roman"/>
                      <w:sz w:val="20"/>
                      <w:szCs w:val="20"/>
                    </w:rPr>
                    <w:t xml:space="preserve"> CzrA. These effects have been observed at other metal binding sites (MBSs). Natural Bond Order (NBO) and Symmetry-Adapted Perturbation Theory (SAPT) calculations on MBSs adopted from various proteins find that charge transfer (CT) effects withdraw greater charge from atoms participating in hydrogen bonding in the presence of </w:t>
                  </w:r>
                  <w:proofErr w:type="gramStart"/>
                  <w:r w:rsidRPr="001F5B5C">
                    <w:rPr>
                      <w:rFonts w:ascii="Times New Roman" w:eastAsia="Times New Roman" w:hAnsi="Times New Roman"/>
                      <w:sz w:val="20"/>
                      <w:szCs w:val="20"/>
                    </w:rPr>
                    <w:t>Zn(</w:t>
                  </w:r>
                  <w:proofErr w:type="gramEnd"/>
                  <w:r w:rsidRPr="001F5B5C">
                    <w:rPr>
                      <w:rFonts w:ascii="Times New Roman" w:eastAsia="Times New Roman" w:hAnsi="Times New Roman"/>
                      <w:sz w:val="20"/>
                      <w:szCs w:val="20"/>
                    </w:rPr>
                    <w:t>II) than in the apo state. Polarization may play a significant role in helping strengthen the metal ion mediated hydrogen bond in CzrA and other metal sensor proteins. Furthermore, we find that ligand identity has an effect on second-shell hydrogen bonds.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3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2357200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Preventing nosocomial infections: Antimicrobial photodynamic textiles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Sarah Stanley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slstanl2@ncsu.edu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Sarah Stanley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North Carolina State University, Raleigh,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According to the CDC, 5-10% of all patients admitted into a hospital will acquire a new infection from exposure to local pathogens, resulting in approximately 1.7 million healthcare-associated infections in the United States each year. Such infections are the sixth leading cause of death in America, as well as a $30-45 billion burden on the healthcare system. In order to reduce the incidence rates of such nosocomial infections, we have envisioned employing textile products with antimicrobial properties to prevent pathogens from transmitting to immunocompromised patients in hospitals and in other high-risk environments. As our chosen method of sterilization, we have focused on antimicrobial photodynamic inactivation (aPDI), which employs a non-toxic photosensitizer, visible light, and ambient molecular oxygen to inactivate microbial pathogens. Upon illumination, the photosensitizer generates singlet oxygen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a highly reactive species that has been shown to cause non-specific cell damage, which is thought to prevent the evolution of drug resistance. In addition, singlet oxygen rapidly decays back to its triplet ground state if unreacted, so it is thought to be environmentally benign.</w:t>
                  </w:r>
                  <w:r w:rsidRPr="001F5B5C">
                    <w:rPr>
                      <w:rFonts w:ascii="Times New Roman" w:eastAsia="Times New Roman" w:hAnsi="Times New Roman"/>
                      <w:sz w:val="20"/>
                      <w:szCs w:val="20"/>
                    </w:rPr>
                    <w:br/>
                    <w:t>Via electrospinning, we have embedded a tricationic photosensitizer (Por</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into polyacrylonitrile (PAN) to produce PAN-Por</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a photodynamically-active nonwoven textile material. After washing to remove any photosensitizer remaining on the surface, the textile exhibited a broad spectrum of antimicrobial efficacy. Under reasonable illumination conditions (400-700 nm, 30 min), PAN-Por</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demonstrates ~6 log units (99.9999+%) of inactivation with </w:t>
                  </w:r>
                  <w:r w:rsidRPr="001F5B5C">
                    <w:rPr>
                      <w:rFonts w:ascii="Times New Roman" w:eastAsia="Times New Roman" w:hAnsi="Times New Roman"/>
                      <w:i/>
                      <w:iCs/>
                      <w:sz w:val="20"/>
                      <w:szCs w:val="20"/>
                    </w:rPr>
                    <w:t>Escherichia coli</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Acinetobacter baumannii</w:t>
                  </w:r>
                  <w:r w:rsidRPr="001F5B5C">
                    <w:rPr>
                      <w:rFonts w:ascii="Times New Roman" w:eastAsia="Times New Roman" w:hAnsi="Times New Roman"/>
                      <w:sz w:val="20"/>
                      <w:szCs w:val="20"/>
                    </w:rPr>
                    <w:t xml:space="preserve">, vancomycin resistant </w:t>
                  </w:r>
                  <w:r w:rsidRPr="001F5B5C">
                    <w:rPr>
                      <w:rFonts w:ascii="Times New Roman" w:eastAsia="Times New Roman" w:hAnsi="Times New Roman"/>
                      <w:i/>
                      <w:iCs/>
                      <w:sz w:val="20"/>
                      <w:szCs w:val="20"/>
                    </w:rPr>
                    <w:t xml:space="preserve">Enterococcus faecium </w:t>
                  </w:r>
                  <w:r w:rsidRPr="001F5B5C">
                    <w:rPr>
                      <w:rFonts w:ascii="Times New Roman" w:eastAsia="Times New Roman" w:hAnsi="Times New Roman"/>
                      <w:sz w:val="20"/>
                      <w:szCs w:val="20"/>
                    </w:rPr>
                    <w:t xml:space="preserve">(VRE) and </w:t>
                  </w:r>
                  <w:r w:rsidRPr="001F5B5C">
                    <w:rPr>
                      <w:rFonts w:ascii="Times New Roman" w:eastAsia="Times New Roman" w:hAnsi="Times New Roman"/>
                      <w:i/>
                      <w:iCs/>
                      <w:sz w:val="20"/>
                      <w:szCs w:val="20"/>
                    </w:rPr>
                    <w:t>Staphylococcus aureus</w:t>
                  </w:r>
                  <w:r w:rsidRPr="001F5B5C">
                    <w:rPr>
                      <w:rFonts w:ascii="Times New Roman" w:eastAsia="Times New Roman" w:hAnsi="Times New Roman"/>
                      <w:sz w:val="20"/>
                      <w:szCs w:val="20"/>
                    </w:rPr>
                    <w:t xml:space="preserve"> , and ~5 log units (99.999+%) of inactivation with </w:t>
                  </w:r>
                  <w:r w:rsidRPr="001F5B5C">
                    <w:rPr>
                      <w:rFonts w:ascii="Times New Roman" w:eastAsia="Times New Roman" w:hAnsi="Times New Roman"/>
                      <w:i/>
                      <w:iCs/>
                      <w:sz w:val="20"/>
                      <w:szCs w:val="20"/>
                    </w:rPr>
                    <w:t>Klebsiella pneumoniae</w:t>
                  </w:r>
                  <w:r w:rsidRPr="001F5B5C">
                    <w:rPr>
                      <w:rFonts w:ascii="Times New Roman" w:eastAsia="Times New Roman" w:hAnsi="Times New Roman"/>
                      <w:sz w:val="20"/>
                      <w:szCs w:val="20"/>
                    </w:rPr>
                    <w:t>. Initial results against vesicular stomatitis virus also demonstrate an impressive 7+ log units of viral inactivation. The results of these and other investigations, including our control experiments and efforts to increase the durability of the material by increasing the fiber diameter or altering the thickness of the textile, will be discussed.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2360843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Metal-Organic Frameworks with Embedded Basic Sites for Heavy Metal Capture from Aquatic Environments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Caleb Fast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cdf2h@uvawise.edu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Caleb Fast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Trevor A. Makal</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Natural Sciences, The University of Virginia's C, Wise,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pollution of water sources with heavy metals is an ongoing problem. Heavy metals, such as mercury, lead, and </w:t>
                  </w:r>
                  <w:proofErr w:type="gramStart"/>
                  <w:r w:rsidRPr="001F5B5C">
                    <w:rPr>
                      <w:rFonts w:ascii="Times New Roman" w:eastAsia="Times New Roman" w:hAnsi="Times New Roman"/>
                      <w:sz w:val="20"/>
                      <w:szCs w:val="20"/>
                    </w:rPr>
                    <w:t>cadmium, that</w:t>
                  </w:r>
                  <w:proofErr w:type="gramEnd"/>
                  <w:r w:rsidRPr="001F5B5C">
                    <w:rPr>
                      <w:rFonts w:ascii="Times New Roman" w:eastAsia="Times New Roman" w:hAnsi="Times New Roman"/>
                      <w:sz w:val="20"/>
                      <w:szCs w:val="20"/>
                    </w:rPr>
                    <w:t xml:space="preserve"> are present in contaminated water sources present a significant threat to humans and wildlife alike. The development of new materials to efficiently remove targeted heavy metal toxins from aquatic environments is essential to securing the future of our already stressed potable water supplies. Previous efforts in the development of materials for heterogeneous water purification and remediation have relied upon highly porous (such as activated charcoal) or functionalized materials (such as layered double hydroxides). In this work, we aimed to design and synthesize highly porous and water-stable metal-organic frameworks (MOFs) with embedded basic sites using hard-soft acid-base theory. A series of five UiO-66-based MOFs were synthesized, characterized, and analyzed for water stability and heavy metal uptake capabilities in order to probe the role of thio and thioether functionalities within a porous MOF toward heavy metal capture and selectivity. Preliminary results indicate capture performance that rivals that of current technologies.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2366823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Characterization of mixed diacetylene self-assembled monolayers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Nathaniel Rivers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Nathan.rivers@furman.edu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Nathaniel A. Rivers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Monika Milkovska</w:t>
                  </w:r>
                  <w:r w:rsidRPr="001F5B5C">
                    <w:rPr>
                      <w:rFonts w:ascii="Times New Roman" w:eastAsia="Times New Roman" w:hAnsi="Times New Roman"/>
                      <w:sz w:val="20"/>
                      <w:szCs w:val="20"/>
                      <w:vertAlign w:val="superscript"/>
                    </w:rPr>
                    <w:t>2, 1</w:t>
                  </w:r>
                  <w:r w:rsidRPr="001F5B5C">
                    <w:rPr>
                      <w:rFonts w:ascii="Times New Roman" w:eastAsia="Times New Roman" w:hAnsi="Times New Roman"/>
                      <w:sz w:val="20"/>
                      <w:szCs w:val="20"/>
                    </w:rPr>
                    <w:t>, Laura L. Wright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 Furman Univ, Greenville, SC, United States. </w:t>
                  </w:r>
                  <w:r w:rsidRPr="001F5B5C">
                    <w:rPr>
                      <w:rFonts w:ascii="Times New Roman" w:eastAsia="Times New Roman" w:hAnsi="Times New Roman"/>
                      <w:sz w:val="20"/>
                      <w:szCs w:val="20"/>
                    </w:rPr>
                    <w:br/>
                    <w:t xml:space="preserve">2. Chemistry, University of Georgia, Athens,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Diacetylene self-assembled monolayers (SAMs) have the ability to intercalate and immobilize other compounds. Immobilization requires conjugated diacetylene units which can crosslink when irradiated. Because of these characteristics, polydiacetylene (PDA) SAMs have a wide variety of potential uses in applications such as biological sensors, microelectronics, or adhesives. Herein we report the synthesis and characterization of PDA self-assembled mono- and multilayers on high grade ultraflat mica using ethanol as a solvent. Optimal conditions for the formation of SAMs of 10</w:t>
                  </w:r>
                  <w:proofErr w:type="gramStart"/>
                  <w:r w:rsidRPr="001F5B5C">
                    <w:rPr>
                      <w:rFonts w:ascii="Times New Roman" w:eastAsia="Times New Roman" w:hAnsi="Times New Roman"/>
                      <w:sz w:val="20"/>
                      <w:szCs w:val="20"/>
                    </w:rPr>
                    <w:t>,12</w:t>
                  </w:r>
                  <w:proofErr w:type="gramEnd"/>
                  <w:r w:rsidRPr="001F5B5C">
                    <w:rPr>
                      <w:rFonts w:ascii="Times New Roman" w:eastAsia="Times New Roman" w:hAnsi="Times New Roman"/>
                      <w:sz w:val="20"/>
                      <w:szCs w:val="20"/>
                    </w:rPr>
                    <w:t xml:space="preserve">-octadecadiynoic acid (DA) were found to be a soak time of 45 seconds in 0.5 mM solutions. </w:t>
                  </w:r>
                  <w:proofErr w:type="gramStart"/>
                  <w:r w:rsidRPr="001F5B5C">
                    <w:rPr>
                      <w:rFonts w:ascii="Times New Roman" w:eastAsia="Times New Roman" w:hAnsi="Times New Roman"/>
                      <w:sz w:val="20"/>
                      <w:szCs w:val="20"/>
                    </w:rPr>
                    <w:t>Bis(</w:t>
                  </w:r>
                  <w:proofErr w:type="gramEnd"/>
                  <w:r w:rsidRPr="001F5B5C">
                    <w:rPr>
                      <w:rFonts w:ascii="Times New Roman" w:eastAsia="Times New Roman" w:hAnsi="Times New Roman"/>
                      <w:sz w:val="20"/>
                      <w:szCs w:val="20"/>
                    </w:rPr>
                    <w:t>2,2’-bipyridyl)(10,12-octadecadiynamide-N-1,10-phenanthrolin-5-yl)ruthenium(II) hexafluorophosphate (RuDAphen) was synthesized. Mixed SAMs were prepared by combining solutions of the DA and the RuDAphen then simultaneously depositing them on mica. The mixed SAM was then photopolymerized and characterized via atomic force microscopy, fluorescent microscopy, and contact angle studies. Further fluorescence studies were conducted which differentiated Ru emission from background PDA emission.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2368635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Designing a Unique Therapeutic Agent Involving Gold Nanoparticles Conjugated With Cephalosporins for Potent Antibacterial Applications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William Hamilton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wrhamilton1@gmail.com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William R. Hamilton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Jason Payne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Rajalingam Dakshinamurthy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Western Kentucky University, Cerulean, KY,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Antibiotic resistance, a global concern is now challenging the current antibiotic therapy to treat bacterial infections. Hence, there is a desperate need for making new antibiotics in response to the soaring increase in cases of multi-drug resistant (MDR) bacteria which are prevalently known as “superbugs”. In this research, we have attempted to design an effective antibacterial agent involving gold nanoparticles (AuNPs) conjugated with an antibiotic (belonging to the cephalosporin class). Cephalosporins, a sub-class of β-lactam antibiotics, disrupt the synthesis of the peptidoglycan layer forming the bacterial cell wall. In the medical field they are considered to be “a class of highly potent antibiotics that are among medicine's last defenses against several serious human infections” by the World Health Organization. By keeping twelve principles of ‘green chemistry’ in mind, an unique, single step process, unlike conventional methods was fabricated for making AuNPs using the combine reducing and capping ability of cephalosporins to yield an array of cephalosporin conjugated gold nanoparticles (Cep-AuNPs) which were then characterized using various analytical techniques such as transmission electron microscope (TEM), TGA, ICP-OES, scanning electron microscope (SEM) and UV-Vis spectroscopy to determine its morphology. Efficiency of Cep-AuNPs was assessed using several antibacterial assays such as turbidimetry, spread plate method and XTT assay. A variety of bacterial strains involving both Gram-positive and Gram-negative were used for above assays. The minimum inhibition concentration (MIC) of Cep-AuNPs, obtained from the assays was compared with the MIC of pure drug form of the cephalosporins in order to evaluate the superiority of Cep-AuNPs over pure cephalosporins.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2306808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Equatorial and axial ligation of Ru2(dpf)3(O2CCH3)Cl where dpf = N,N'-diphenylformamidinate anion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Dayna Patterson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pattersondc@hbu.edu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Dayna Patterson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Houston Baptist University, Houston,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In this work, we report the reaction of </w:t>
                  </w:r>
                  <w:proofErr w:type="gramStart"/>
                  <w:r w:rsidRPr="001F5B5C">
                    <w:rPr>
                      <w:rFonts w:ascii="Times New Roman" w:eastAsia="Times New Roman" w:hAnsi="Times New Roman"/>
                      <w:sz w:val="20"/>
                      <w:szCs w:val="20"/>
                    </w:rPr>
                    <w:t>Ru2(</w:t>
                  </w:r>
                  <w:proofErr w:type="gramEnd"/>
                  <w:r w:rsidRPr="001F5B5C">
                    <w:rPr>
                      <w:rFonts w:ascii="Times New Roman" w:eastAsia="Times New Roman" w:hAnsi="Times New Roman"/>
                      <w:sz w:val="20"/>
                      <w:szCs w:val="20"/>
                    </w:rPr>
                    <w:t xml:space="preserve">dpf)3(O2CCH3)Cl (dpf = N,N’-diphenylformamidinateanion) with Cu(TriPC) (TriPC = carboxyphenyl triphenylporphyrin dianion), 4-cyanopyridine (CNpy) and1,4-phenylene diisocyanide ((CN)2Phen). The reaction between the diruthenium complex and theporphyrin proceeds via a replacement of one acetate by the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 xml:space="preserve">II) porphyrin and yields a compoundisolated as Ru2(dpf)3(Cu(TriPC))Cl on the basis of mass spectral and electrochemical data. The reactionproducts of </w:t>
                  </w:r>
                  <w:proofErr w:type="gramStart"/>
                  <w:r w:rsidRPr="001F5B5C">
                    <w:rPr>
                      <w:rFonts w:ascii="Times New Roman" w:eastAsia="Times New Roman" w:hAnsi="Times New Roman"/>
                      <w:sz w:val="20"/>
                      <w:szCs w:val="20"/>
                    </w:rPr>
                    <w:t>Ru2(</w:t>
                  </w:r>
                  <w:proofErr w:type="gramEnd"/>
                  <w:r w:rsidRPr="001F5B5C">
                    <w:rPr>
                      <w:rFonts w:ascii="Times New Roman" w:eastAsia="Times New Roman" w:hAnsi="Times New Roman"/>
                      <w:sz w:val="20"/>
                      <w:szCs w:val="20"/>
                    </w:rPr>
                    <w:t>dpf)3(O2CCH3)Cl with 4-cyanopyridine and 1,4-phenylene diisocyanide were both in-situcharacterized by UV-visible spectroscopy and cyclic voltammetry in coordinating and/or non-coordinating solvents. Analysis of the data suggests formation of mono and/or bis adducts in the case of4-cyanopyridine while compounds of the type Ru2(dpf)3(O2CCH3)((CN)2Phen)(dpf)3(O2CCH3)Ru2 and chaincomplexes such as [Ru2(dpf)3(O2CCH3)(CN)2Phen)]n are proposed to exist in solution in the case of 1,4-phenylene diisocyanide.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2321381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Reactions of some hydroxy carboxylic acids with Cu</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and Cr</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xml:space="preserve"> in aqueous solutions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Yahia Hamada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yahia_hamada@loc.edu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Yahia Z. Hamada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Dept, LeMoyne Owen College,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Over the past decade we have studied variety of low-molecular-mass ligands with many metal ions in aqueous solutions using various spectrophotometric techniques (IR and UV-Vis) and electromotive force measurements. Herein, we are reporting the interaction of lactic acid, malic acid, and citric acid as examples of hydroxy carboxylates with Cu</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and Cr</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We are reporting the equilibrium behavior for newly discovered metal-complexes as well as their spectroscopic absorption spectra in aqueous solution at room temperature.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2321606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Copper and iron glycine complexes in aqueous solutions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Yahia Hamada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yahia_hamada@loc.edu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Yahia Z. Hamada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Dept, LeMoyne Owen College,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Glycine is the simplest amino acid (AA) among all known AAs. Because Glycine is a neurotransmitter as well as </w:t>
                  </w:r>
                  <w:proofErr w:type="gramStart"/>
                  <w:r w:rsidRPr="001F5B5C">
                    <w:rPr>
                      <w:rFonts w:ascii="Times New Roman" w:eastAsia="Times New Roman" w:hAnsi="Times New Roman"/>
                      <w:sz w:val="20"/>
                      <w:szCs w:val="20"/>
                    </w:rPr>
                    <w:t>Iron(</w:t>
                  </w:r>
                  <w:proofErr w:type="gramEnd"/>
                  <w:r w:rsidRPr="001F5B5C">
                    <w:rPr>
                      <w:rFonts w:ascii="Times New Roman" w:eastAsia="Times New Roman" w:hAnsi="Times New Roman"/>
                      <w:sz w:val="20"/>
                      <w:szCs w:val="20"/>
                    </w:rPr>
                    <w:t xml:space="preserve">III) and Copper(II) are found in neurological fluids, we propose that these metal ions and Glycine would interact in aqueous solutions, but we didn’t know how. One of the aims of this work is to determine the </w:t>
                  </w:r>
                  <w:proofErr w:type="gramStart"/>
                  <w:r w:rsidRPr="001F5B5C">
                    <w:rPr>
                      <w:rFonts w:ascii="Times New Roman" w:eastAsia="Times New Roman" w:hAnsi="Times New Roman"/>
                      <w:sz w:val="20"/>
                      <w:szCs w:val="20"/>
                    </w:rPr>
                    <w:t>complex(</w:t>
                  </w:r>
                  <w:proofErr w:type="gramEnd"/>
                  <w:r w:rsidRPr="001F5B5C">
                    <w:rPr>
                      <w:rFonts w:ascii="Times New Roman" w:eastAsia="Times New Roman" w:hAnsi="Times New Roman"/>
                      <w:sz w:val="20"/>
                      <w:szCs w:val="20"/>
                    </w:rPr>
                    <w:t>es) formed between these ions and Glycine under ambient conditions. Potentiometric titrations and spectroscopic measurements were used to address this hypothesis. It appeared that the one to one complex (which was identified in literature before) along with other Copper/Iron and Glycine complexes were formed. Both the UV-Vis Spectroscopy and IR Spectroscopy were utilized to address this research point.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2344284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Investigating metal-to-metal charge transfer in bimetallic Fe-Ti complexes through spectroelectrochemistry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Elizabeth Carlton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elizabeth.carlton@furman.edu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Elizabeth Carlton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Karlee Wroblewski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Jared Pienkos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Paul S. Wagenknecht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Department,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Alkynyl bridged Fe-Ti complexes could be useful in solar energy conversion and photocatalysis due to their metal-to-metal charge-transfer (MMCT) excited states. It is believed that an electron is initially being transferred from Fe</w:t>
                  </w:r>
                  <w:r w:rsidRPr="001F5B5C">
                    <w:rPr>
                      <w:rFonts w:ascii="Times New Roman" w:eastAsia="Times New Roman" w:hAnsi="Times New Roman"/>
                      <w:sz w:val="20"/>
                      <w:szCs w:val="20"/>
                      <w:vertAlign w:val="superscript"/>
                    </w:rPr>
                    <w:t>II</w:t>
                  </w:r>
                  <w:r w:rsidRPr="001F5B5C">
                    <w:rPr>
                      <w:rFonts w:ascii="Times New Roman" w:eastAsia="Times New Roman" w:hAnsi="Times New Roman"/>
                      <w:sz w:val="20"/>
                      <w:szCs w:val="20"/>
                    </w:rPr>
                    <w:t xml:space="preserve"> to Ti</w:t>
                  </w:r>
                  <w:r w:rsidRPr="001F5B5C">
                    <w:rPr>
                      <w:rFonts w:ascii="Times New Roman" w:eastAsia="Times New Roman" w:hAnsi="Times New Roman"/>
                      <w:sz w:val="20"/>
                      <w:szCs w:val="20"/>
                      <w:vertAlign w:val="superscript"/>
                    </w:rPr>
                    <w:t xml:space="preserve">IV </w:t>
                  </w:r>
                  <w:r w:rsidRPr="001F5B5C">
                    <w:rPr>
                      <w:rFonts w:ascii="Times New Roman" w:eastAsia="Times New Roman" w:hAnsi="Times New Roman"/>
                      <w:sz w:val="20"/>
                      <w:szCs w:val="20"/>
                    </w:rPr>
                    <w:t>to oxidize Fe</w:t>
                  </w:r>
                  <w:r w:rsidRPr="001F5B5C">
                    <w:rPr>
                      <w:rFonts w:ascii="Times New Roman" w:eastAsia="Times New Roman" w:hAnsi="Times New Roman"/>
                      <w:sz w:val="20"/>
                      <w:szCs w:val="20"/>
                      <w:vertAlign w:val="superscript"/>
                    </w:rPr>
                    <w:t>II</w:t>
                  </w:r>
                  <w:r w:rsidRPr="001F5B5C">
                    <w:rPr>
                      <w:rFonts w:ascii="Times New Roman" w:eastAsia="Times New Roman" w:hAnsi="Times New Roman"/>
                      <w:sz w:val="20"/>
                      <w:szCs w:val="20"/>
                    </w:rPr>
                    <w:t xml:space="preserve"> to Fe</w:t>
                  </w:r>
                  <w:r w:rsidRPr="001F5B5C">
                    <w:rPr>
                      <w:rFonts w:ascii="Times New Roman" w:eastAsia="Times New Roman" w:hAnsi="Times New Roman"/>
                      <w:sz w:val="20"/>
                      <w:szCs w:val="20"/>
                      <w:vertAlign w:val="superscript"/>
                    </w:rPr>
                    <w:t>III</w:t>
                  </w:r>
                  <w:r w:rsidRPr="001F5B5C">
                    <w:rPr>
                      <w:rFonts w:ascii="Times New Roman" w:eastAsia="Times New Roman" w:hAnsi="Times New Roman"/>
                      <w:sz w:val="20"/>
                      <w:szCs w:val="20"/>
                    </w:rPr>
                    <w:t xml:space="preserve"> and reduce Ti</w:t>
                  </w:r>
                  <w:r w:rsidRPr="001F5B5C">
                    <w:rPr>
                      <w:rFonts w:ascii="Times New Roman" w:eastAsia="Times New Roman" w:hAnsi="Times New Roman"/>
                      <w:sz w:val="20"/>
                      <w:szCs w:val="20"/>
                      <w:vertAlign w:val="superscript"/>
                    </w:rPr>
                    <w:t>IV</w:t>
                  </w:r>
                  <w:r w:rsidRPr="001F5B5C">
                    <w:rPr>
                      <w:rFonts w:ascii="Times New Roman" w:eastAsia="Times New Roman" w:hAnsi="Times New Roman"/>
                      <w:sz w:val="20"/>
                      <w:szCs w:val="20"/>
                    </w:rPr>
                    <w:t xml:space="preserve"> to Ti</w:t>
                  </w:r>
                  <w:r w:rsidRPr="001F5B5C">
                    <w:rPr>
                      <w:rFonts w:ascii="Times New Roman" w:eastAsia="Times New Roman" w:hAnsi="Times New Roman"/>
                      <w:sz w:val="20"/>
                      <w:szCs w:val="20"/>
                      <w:vertAlign w:val="superscript"/>
                    </w:rPr>
                    <w:t>III</w:t>
                  </w:r>
                  <w:r w:rsidRPr="001F5B5C">
                    <w:rPr>
                      <w:rFonts w:ascii="Times New Roman" w:eastAsia="Times New Roman" w:hAnsi="Times New Roman"/>
                      <w:sz w:val="20"/>
                      <w:szCs w:val="20"/>
                    </w:rPr>
                    <w:t>, creating the MMCT excited state. For such compounds to be applied to solar cell technology, it is important to understand the decay process of the MMCT excited state. The decay of the MMCT excited states of these systems has been investigated through time resolved transient absorption spectroscopy. The spectroelectrochemisty of these molecules was also studied in order to obtain a spectrum of the reduced Ti</w:t>
                  </w:r>
                  <w:r w:rsidRPr="001F5B5C">
                    <w:rPr>
                      <w:rFonts w:ascii="Times New Roman" w:eastAsia="Times New Roman" w:hAnsi="Times New Roman"/>
                      <w:sz w:val="20"/>
                      <w:szCs w:val="20"/>
                      <w:vertAlign w:val="superscript"/>
                    </w:rPr>
                    <w:t xml:space="preserve">III </w:t>
                  </w:r>
                  <w:r w:rsidRPr="001F5B5C">
                    <w:rPr>
                      <w:rFonts w:ascii="Times New Roman" w:eastAsia="Times New Roman" w:hAnsi="Times New Roman"/>
                      <w:sz w:val="20"/>
                      <w:szCs w:val="20"/>
                    </w:rPr>
                    <w:t>species. Herein, we explore the spectroelectrochemistry of alkynyl bridged Fe-Ti complexes to compare to the transient absorption spectra and to further understand the decay of the MMCT excited state.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2349285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Redox potentials of ruthenium complexes to understand catalytic ability in water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Antonio Lopez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aalopez660@gmail.com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Antonio A. Lopez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Robert Adams</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Sarina Bellows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Thomas R. Cundari</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St. Mary's </w:t>
                  </w:r>
                  <w:proofErr w:type="gramStart"/>
                  <w:r w:rsidRPr="001F5B5C">
                    <w:rPr>
                      <w:rFonts w:ascii="Times New Roman" w:eastAsia="Times New Roman" w:hAnsi="Times New Roman"/>
                      <w:sz w:val="20"/>
                      <w:szCs w:val="20"/>
                    </w:rPr>
                    <w:t>University ,</w:t>
                  </w:r>
                  <w:proofErr w:type="gramEnd"/>
                  <w:r w:rsidRPr="001F5B5C">
                    <w:rPr>
                      <w:rFonts w:ascii="Times New Roman" w:eastAsia="Times New Roman" w:hAnsi="Times New Roman"/>
                      <w:sz w:val="20"/>
                      <w:szCs w:val="20"/>
                    </w:rPr>
                    <w:t xml:space="preserve"> San Antonio, TX, United States. </w:t>
                  </w:r>
                  <w:r w:rsidRPr="001F5B5C">
                    <w:rPr>
                      <w:rFonts w:ascii="Times New Roman" w:eastAsia="Times New Roman" w:hAnsi="Times New Roman"/>
                      <w:sz w:val="20"/>
                      <w:szCs w:val="20"/>
                    </w:rPr>
                    <w:br/>
                    <w:t xml:space="preserve">2. Dept of Chemistry, Univ of North Texas, Denton, TX, United States. </w:t>
                  </w:r>
                  <w:r w:rsidRPr="001F5B5C">
                    <w:rPr>
                      <w:rFonts w:ascii="Times New Roman" w:eastAsia="Times New Roman" w:hAnsi="Times New Roman"/>
                      <w:sz w:val="20"/>
                      <w:szCs w:val="20"/>
                    </w:rPr>
                    <w:br/>
                    <w:t xml:space="preserve">3. Chemistry, University of Rochester, Rochester, NY, United States. </w:t>
                  </w:r>
                  <w:r w:rsidRPr="001F5B5C">
                    <w:rPr>
                      <w:rFonts w:ascii="Times New Roman" w:eastAsia="Times New Roman" w:hAnsi="Times New Roman"/>
                      <w:sz w:val="20"/>
                      <w:szCs w:val="20"/>
                    </w:rPr>
                    <w:br/>
                    <w:t xml:space="preserve">4. Chemistry and Biochemistry, California State University, Dominguez Hills, Carson, CA,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attempt to help better understand the catalytic ability of ruthenium (Ru) complexes in the Aldehyde Water Shift (AWS), the hydricity of the Ru complex must be determined in aqueous solution. This is quite difficult to accomplish, both experimentally and computationally. Hence, we are exploiting the fact that hydricity is contained within a thermochemical cycle with pK</w:t>
                  </w:r>
                  <w:r w:rsidRPr="001F5B5C">
                    <w:rPr>
                      <w:rFonts w:ascii="Times New Roman" w:eastAsia="Times New Roman" w:hAnsi="Times New Roman"/>
                      <w:sz w:val="20"/>
                      <w:szCs w:val="20"/>
                      <w:vertAlign w:val="subscript"/>
                    </w:rPr>
                    <w:t>a</w:t>
                  </w:r>
                  <w:r w:rsidRPr="001F5B5C">
                    <w:rPr>
                      <w:rFonts w:ascii="Times New Roman" w:eastAsia="Times New Roman" w:hAnsi="Times New Roman"/>
                      <w:sz w:val="20"/>
                      <w:szCs w:val="20"/>
                    </w:rPr>
                    <w:t xml:space="preserve"> and redox potentials in order to help simplify the process. Our research involves computationally determining redox potentials, in volts (V), of these Ru complexes. We are working with a variety of complexes. Density functional theory (DFT) was used, with multiple levels of theory utilizing three (3) functionals (B3LYP, B3P86, and M11) and two (2) basis sets. Ultimately, the goal is to determine the best level of theory to suit a wide array of applications for which hydricity is a key catalyst property. Our research has discovered that basis set was least important in determining redox potentials among the computational parameters investigated with an average of a 0.07 V difference. Changing functionals made a notable difference of 0.50 V on average in predicted redox potentials. The largest contributor to the accuracy of the calculations was ensuring that the complexes are appropriately solvated with a continuum water model, which had an average impact of 6.14 V between the gas state and SMD-water.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2351149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Steps toward a mechanically active gadolinium chelate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Patricia Johnson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pnjohnso@buffalo.edu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Patricia Johnson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Cameron Brown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Stephen Craig</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State University of New York at Buffalo, Amherst, NY, United States. </w:t>
                  </w:r>
                  <w:r w:rsidRPr="001F5B5C">
                    <w:rPr>
                      <w:rFonts w:ascii="Times New Roman" w:eastAsia="Times New Roman" w:hAnsi="Times New Roman"/>
                      <w:sz w:val="20"/>
                      <w:szCs w:val="20"/>
                    </w:rPr>
                    <w:br/>
                    <w:t xml:space="preserve">2. Department of Chemistry, Duke University, Durham, NC, United States. </w:t>
                  </w:r>
                  <w:r w:rsidRPr="001F5B5C">
                    <w:rPr>
                      <w:rFonts w:ascii="Times New Roman" w:eastAsia="Times New Roman" w:hAnsi="Times New Roman"/>
                      <w:sz w:val="20"/>
                      <w:szCs w:val="20"/>
                    </w:rPr>
                    <w:br/>
                    <w:t xml:space="preserve">3. Department of Chemistry, Duke University, Durham,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Mechanical energy is often destructive to synthetic materials. Mechanophores, or functional groups activated by mechanical force, are designed to reroute destructive force into a constructive response. Current mechanophores produce color change, small molecule release, or cross-linking within a polymer network, functions that are useful in sensors, data displays, and self-strengthening materials. These systems are normally organic, whereas metal chelates are much less explored as mechanophores, but present several potential advantages: (1) The nature of a chelating macrocyle is such that parts of the ligand should stay coordinated to the metal center even when another part is pulled off, which bodes well for reversibility; (2) Dative bonds are weaker than normal covalent bonds, requiring a lower force for activation; (3) Many metal complexes are water tolerant and even incorporate water molecules into their coordination spheres, offering opportunities for applications in functional hydrogels. One such chelate is gadoteric acid, a gadolinium (Gd) based magnetic resonance imaging (MRI) contrast agent. With some modifications to its synthesis, this compound can be functionalized with alkene-terminating arms, allowing its incorporation as a load-bearing cross-linker in a polymer network We hypothesize that force applied to bulk material will transfer from polymer chains to the chelate, causing parts of the ligand to dissociate from the metal. This in turn should alter the MRI contrast and photophysical properties of the complex. Steps towards the synthesis of the target chelate will be presented, along with possible applications as a pressure sensor and self-strengthening hydrogel.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4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2352348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Photochemical and oxidative degradation of Fe-Ti complexes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Karlee Wroblewski | Paul Wagenknecht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karlee.wroblewski@furman.edu | paul.wagenknecht@furman.edu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Karlee Wroblewski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Alexis Myers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Elizabeth Carlton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Jared Pienkos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Paul S. Wagenknecht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Department,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Research has shown that titanium dioxide can be combined with a light-absorbing dye to produce a system that can capture solar energy—a technology called dye sensitized solar cells. Typically, these dyes are made of ruthenium complexes. Ruthenium, however, is a very rare and expensive transition metal. Our lab is researching bimetallic complexes comprising first row transition metals, chiefly titanium and iron, to be used as these dyes. In order for these bimetallic dyes to be applied to solar cells, it is essential to know their photochemical and oxidative stability. Herein, we report our findings on the photochemical and oxidative decomposition of bimetallic complexes between iron and titanium. Mechanistic implications of the photochemistry will be discussed.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2357195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characterization, and reactivity of tris(2,2,2-trifluorethyl)phosphite complexes of ruthenium(II) with electron-rich arene ligands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Patrick Zdunek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hqz791@mocs.utc.edu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Patrick Zdunek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P. Lee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Ruthenium(II)-phosphite complexes of the type [Ru(</w:t>
                  </w:r>
                  <w:r w:rsidRPr="001F5B5C">
                    <w:rPr>
                      <w:rFonts w:ascii="Times New Roman" w:eastAsia="Times New Roman" w:hAnsi="Times New Roman"/>
                      <w:i/>
                      <w:iCs/>
                      <w:sz w:val="20"/>
                      <w:szCs w:val="20"/>
                    </w:rPr>
                    <w:t>p</w:t>
                  </w:r>
                  <w:r w:rsidRPr="001F5B5C">
                    <w:rPr>
                      <w:rFonts w:ascii="Times New Roman" w:eastAsia="Times New Roman" w:hAnsi="Times New Roman"/>
                      <w:sz w:val="20"/>
                      <w:szCs w:val="20"/>
                    </w:rPr>
                    <w:t>-cymene){P(OCH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[Ru(hexamethylbenzene){P(OCH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and [Ru(Cp*){P(OCH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(Cl)] (</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xml:space="preserve">) have been prepared and characterized by multi-nuclear NMR and UV-vis spectroscopy in addition to single-crystal X-ray diffraction. Complex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was further reacted to produce [</w:t>
                  </w:r>
                  <w:proofErr w:type="gramStart"/>
                  <w:r w:rsidRPr="001F5B5C">
                    <w:rPr>
                      <w:rFonts w:ascii="Times New Roman" w:eastAsia="Times New Roman" w:hAnsi="Times New Roman"/>
                      <w:sz w:val="20"/>
                      <w:szCs w:val="20"/>
                    </w:rPr>
                    <w:t>Ru(</w:t>
                  </w:r>
                  <w:proofErr w:type="gramEnd"/>
                  <w:r w:rsidRPr="001F5B5C">
                    <w:rPr>
                      <w:rFonts w:ascii="Times New Roman" w:eastAsia="Times New Roman" w:hAnsi="Times New Roman"/>
                      <w:i/>
                      <w:iCs/>
                      <w:sz w:val="20"/>
                      <w:szCs w:val="20"/>
                    </w:rPr>
                    <w:t>p</w:t>
                  </w:r>
                  <w:r w:rsidRPr="001F5B5C">
                    <w:rPr>
                      <w:rFonts w:ascii="Times New Roman" w:eastAsia="Times New Roman" w:hAnsi="Times New Roman"/>
                      <w:sz w:val="20"/>
                      <w:szCs w:val="20"/>
                    </w:rPr>
                    <w:t>-cymene){P(OCH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}(Ph)(OTf)]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xml:space="preserve">) as a potential catalyst for olefin hydroarylation. Olefin hydroarylation involves the formation of a new C-C bond via addition of an aromatic C-H bond across an olefin. In the presence of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xml:space="preserve">, catalytic olefin hydroarylation attempts involving benzene and either ethylene or 1-hexene were completed. New directions involving an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-heterocyclic carbene (NHC) complex of the type [Ru(</w:t>
                  </w:r>
                  <w:r w:rsidRPr="001F5B5C">
                    <w:rPr>
                      <w:rFonts w:ascii="Times New Roman" w:eastAsia="Times New Roman" w:hAnsi="Times New Roman"/>
                      <w:i/>
                      <w:iCs/>
                      <w:sz w:val="20"/>
                      <w:szCs w:val="20"/>
                    </w:rPr>
                    <w:t>p</w:t>
                  </w:r>
                  <w:r w:rsidRPr="001F5B5C">
                    <w:rPr>
                      <w:rFonts w:ascii="Times New Roman" w:eastAsia="Times New Roman" w:hAnsi="Times New Roman"/>
                      <w:sz w:val="20"/>
                      <w:szCs w:val="20"/>
                    </w:rPr>
                    <w:t>-cymene)(C^OH)(Cl)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w:t>
                  </w:r>
                  <w:r w:rsidRPr="001F5B5C">
                    <w:rPr>
                      <w:rFonts w:ascii="Times New Roman" w:eastAsia="Times New Roman" w:hAnsi="Times New Roman"/>
                      <w:b/>
                      <w:bCs/>
                      <w:sz w:val="20"/>
                      <w:szCs w:val="20"/>
                    </w:rPr>
                    <w:t>5</w:t>
                  </w:r>
                  <w:r w:rsidRPr="001F5B5C">
                    <w:rPr>
                      <w:rFonts w:ascii="Times New Roman" w:eastAsia="Times New Roman" w:hAnsi="Times New Roman"/>
                      <w:sz w:val="20"/>
                      <w:szCs w:val="20"/>
                    </w:rPr>
                    <w:t xml:space="preserve">), where C^OH = 3-methyl-1-(3,3-dimethyl-2-butanol)imidazolin-2-ylidene, will be described where the tris(2,2,2-trifluorethyl)phosphite has been replaced with a proposed hemilabile hydroxyl functionalized NHC ligand. The structural effects of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xml:space="preserve"> with different neutral and anionic aromatic ligands, catalytic C-H functionalization attempts with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xml:space="preserve">, and future directions with hemilabile hydroxyl NHC ligands will be presented. </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2357254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Building a nanothermometer for localized magnetic induction heating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Rachael Kress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rnkress@crimson.ua.edu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Rachael N. Kress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Rhythm R. Shah</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Abigail L. Paulson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Dylan Pladers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Christopher S. Brazel</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David E. Nikles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The University of Alabama, Tuscaloosa, AL, United States. </w:t>
                  </w:r>
                  <w:r w:rsidRPr="001F5B5C">
                    <w:rPr>
                      <w:rFonts w:ascii="Times New Roman" w:eastAsia="Times New Roman" w:hAnsi="Times New Roman"/>
                      <w:sz w:val="20"/>
                      <w:szCs w:val="20"/>
                    </w:rPr>
                    <w:br/>
                    <w:t xml:space="preserve">2. Chemical &amp; Biological Engineering, The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Magnetic nanoparticles can be heated by an external radio frequency ac magnetic field thereby providing local heating on a nanoscale. For their use to be fully realized, accurate surface temperatures must be obtained. Building a nano-sized thermometer that can be directly attached to the surface of magnetic nanoparticles is one way to obtain an accurate temperature of the particles at their surface during magnetic induction heating. To achieve this goal, rhodamine B, a compound with temperature dependent fluorescence, was attached the surface of the particles. Rhodamine B isothiocyanate (RITC) was reacted with 3-aminopropyltrimethoxysilane (APTMS) to give the corresponding thiourea. Alternatively rhodamine B N-hydroxysuccinimde was reacted with 3-aminopropyltrimethoxysilane to give the correspnding amide. The product was reacted with magnetite nanoparticles, where the trimethoxysilane group formed a covalent bond to the surface of magnetite. A dispersion of the magnetite-APTMS-RITC System (MARS) particles in ethanol was heated in a fluorometer and the fluorescence spectrum was measured at different temperatures. The excitation wavelength was 485 nm and there was a peak in the fluorescence emission at 573 nm. The fluorescence intensity at 573 nm decreased linearly with increasing temperature, thereby giving a calibration curve. From there, the MARS particles were used to accurately test the efficiency of heating magnetite nanoparticles by magnetic induction.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2358368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Rhodium and Iridium complexes of a fused N-heterocyclic carbene as catalysts in hydrosylation reactions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Chance Boudreaux | Bradley Norvell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cmboudre@gmail.com | bnorvell@students.kennesaw.edu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Chance Boudreaux</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Bradley Norvell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Ossie J. Buckner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Daniela Tapu</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Kennesaw State University, Kennesaw,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Since the isolation of the first stable N-heterocyclic carbene (NHC) by Arduengo in 1991, diaminocarbenes have emerged as an important class of ligands in catalysis. The development of new NHCs is an area of intense current research. A series of rhodium and iridium complexes of type [</w:t>
                  </w:r>
                  <w:proofErr w:type="gramStart"/>
                  <w:r w:rsidRPr="001F5B5C">
                    <w:rPr>
                      <w:rFonts w:ascii="Times New Roman" w:eastAsia="Times New Roman" w:hAnsi="Times New Roman"/>
                      <w:sz w:val="20"/>
                      <w:szCs w:val="20"/>
                    </w:rPr>
                    <w:t>M(</w:t>
                  </w:r>
                  <w:proofErr w:type="gramEnd"/>
                  <w:r w:rsidRPr="001F5B5C">
                    <w:rPr>
                      <w:rFonts w:ascii="Times New Roman" w:eastAsia="Times New Roman" w:hAnsi="Times New Roman"/>
                      <w:sz w:val="20"/>
                      <w:szCs w:val="20"/>
                    </w:rPr>
                    <w:t>COD)Cl] and [M(CO)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Cl] bearing a new polycyclic heteroaromatic carbene were synthesized and fully characterized by spectroscopic and crystallographic methods. The preliminary studies on the catalytic activity of these metal complexes in the hydrosilylation of acetophenone derivatives will be presented.</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2359578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Investigate the interface of amino acid on graphene surface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Felipe Beltran | Moiz Sheikh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felipebeltran100@yahoo.com | moiz-19@hotmail.com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Felipe Beltran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Moiz Sheikh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Muhammad Aun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Huajun Fan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Prairie View A&amp;M University, Cypress,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Graphene has attracted much interest in recent years due to its unique properties and characteristics. It is considered to be the strongest, flexible, conductive and most transparent material known. Noncovalent functionalization of graphene with peptides is a promising method for producing novel biochemical sensors with high sensitivity and selectivity. In this study, graphene was synthesized using Hummers/Offeman method and peptides are then selected as possible binding candidates on graphene sheets. Both graphene and complexes were characterized with IR, NMR, and UV spectroscopy. In order to better understand the binding mode of peptides on the graphene surface, the amino acids E (Glutamic Acid), K (Lysine), L (Leucine), M (Methionine), P (Proline), and Q (Glutamine)) are modeled by Gauss View and Python and further simulated by VASP. The objective of this project is to understand the relationship between peptides and graphene host and locate possible binding parameters such as the distance and conformation. The investigation on the interaction of peptides with graphene can also provide insight into the binding behavior of larger biomolecules. This knowledge could facilitate the development of tailored peptide-functionalized graphene for sensitive biochemical sensors</w:t>
                  </w:r>
                  <w:proofErr w:type="gramStart"/>
                  <w:r w:rsidRPr="001F5B5C">
                    <w:rPr>
                      <w:rFonts w:ascii="Times New Roman" w:eastAsia="Times New Roman" w:hAnsi="Times New Roman"/>
                      <w:sz w:val="20"/>
                      <w:szCs w:val="20"/>
                    </w:rPr>
                    <w:t>..</w:t>
                  </w:r>
                  <w:proofErr w:type="gramEnd"/>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2360208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Stabilizing Ligands for Highly Active Water Oxidation Catalysts used in Renewable Energy Conversion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Calla McCulley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callam@uab.edu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Calla M. McCulley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Emma Sackville</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Ulrich Hintermair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Centre for Sustainable Chemical Technologies, Univeristy of Bath, Bath, United Kingdom. </w:t>
                  </w:r>
                  <w:r w:rsidRPr="001F5B5C">
                    <w:rPr>
                      <w:rFonts w:ascii="Times New Roman" w:eastAsia="Times New Roman" w:hAnsi="Times New Roman"/>
                      <w:sz w:val="20"/>
                      <w:szCs w:val="20"/>
                    </w:rPr>
                    <w:br/>
                    <w:t xml:space="preserve">2. Chemistry, University of Alabama at Birmingham, Huntsville, AL, United States. </w:t>
                  </w:r>
                  <w:r w:rsidRPr="001F5B5C">
                    <w:rPr>
                      <w:rFonts w:ascii="Times New Roman" w:eastAsia="Times New Roman" w:hAnsi="Times New Roman"/>
                      <w:sz w:val="20"/>
                      <w:szCs w:val="20"/>
                    </w:rPr>
                    <w:br/>
                    <w:t xml:space="preserve">3. Centre for Sustainable Chemical Technologies, University of Bath, Bath, United Kingdom.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Burning fossil fuels for energy is unsustainable and has been proven to be harmful to the environment. Thus, a key challenge for scientists is to find a more sustainable source of energy supplies and conversion schemes. One option is to use hydrogen gas, produced via water splitting driven by renewable electricity from wave, wind, or solar power. One of the main stumbling blocks for this is the challenging water oxidation step which requires the development of extremely efficient catalysts.</w:t>
                  </w:r>
                  <w:r w:rsidRPr="001F5B5C">
                    <w:rPr>
                      <w:rFonts w:ascii="Times New Roman" w:eastAsia="Times New Roman" w:hAnsi="Times New Roman"/>
                      <w:sz w:val="20"/>
                      <w:szCs w:val="20"/>
                    </w:rPr>
                    <w:br/>
                    <w:t>The iridium complex shown below is currently one of the best water oxidation catalysts. An in-depth study revealed that the Cp</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compound is a pre-catalyst, and that oxidative activation gives the dimeric species indicated which is believed to be the active catalyst. The literature has confirmed the structure of the dimer using a range of spectroscopic tools, but the multiple conformations of the dimer in solution have so far prevented capturing an accurate X-ray crystal structure. The activated form has been shown to bind to metal oxide surfaces, yielding exceptionally active 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evolution electrodes.</w:t>
                  </w:r>
                  <w:r w:rsidRPr="001F5B5C">
                    <w:rPr>
                      <w:rFonts w:ascii="Times New Roman" w:eastAsia="Times New Roman" w:hAnsi="Times New Roman"/>
                      <w:sz w:val="20"/>
                      <w:szCs w:val="20"/>
                    </w:rPr>
                    <w:br/>
                    <w:t>The synthesized polyoxometalate (POM), potassium decatungstosilicate (K</w:t>
                  </w:r>
                  <w:r w:rsidRPr="001F5B5C">
                    <w:rPr>
                      <w:rFonts w:ascii="Times New Roman" w:eastAsia="Times New Roman" w:hAnsi="Times New Roman"/>
                      <w:sz w:val="20"/>
                      <w:szCs w:val="20"/>
                      <w:vertAlign w:val="subscript"/>
                    </w:rPr>
                    <w:t>8</w:t>
                  </w:r>
                  <w:r w:rsidRPr="001F5B5C">
                    <w:rPr>
                      <w:rFonts w:ascii="Times New Roman" w:eastAsia="Times New Roman" w:hAnsi="Times New Roman"/>
                      <w:sz w:val="20"/>
                      <w:szCs w:val="20"/>
                    </w:rPr>
                    <w:t>[ᵞ-SiW</w:t>
                  </w:r>
                  <w:r w:rsidRPr="001F5B5C">
                    <w:rPr>
                      <w:rFonts w:ascii="Times New Roman" w:eastAsia="Times New Roman" w:hAnsi="Times New Roman"/>
                      <w:sz w:val="20"/>
                      <w:szCs w:val="20"/>
                      <w:vertAlign w:val="subscript"/>
                    </w:rPr>
                    <w:t>10</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36</w:t>
                  </w:r>
                  <w:r w:rsidRPr="001F5B5C">
                    <w:rPr>
                      <w:rFonts w:ascii="Times New Roman" w:eastAsia="Times New Roman" w:hAnsi="Times New Roman"/>
                      <w:sz w:val="20"/>
                      <w:szCs w:val="20"/>
                    </w:rPr>
                    <w:t>]●12H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O), is being tested to determine if it can act in a similar manner to a metal oxide surface that will trap the activated catalyst into one confirmation in order for us to obtain an X-ray crystal structure. So far, the POM has been synthesized, the identity has been confirmed using IR spectroscopy, and the POM has been tested with the iridium compound.</w:t>
                  </w:r>
                  <w:r w:rsidRPr="001F5B5C">
                    <w:rPr>
                      <w:rFonts w:ascii="Times New Roman" w:eastAsia="Times New Roman" w:hAnsi="Times New Roman"/>
                      <w:sz w:val="20"/>
                      <w:szCs w:val="20"/>
                    </w:rPr>
                    <w:br/>
                    <w:t>Oxidatively rugged, chelating phosphine-oxide ligands have also been synthesized in order to further lock the activated catalyst into one confirmation. The phenyl-substituted ligand has been synthesized and confirmed using NMR spectroscopy. The next step in this project is to complex the OPNPO ligands to a water oxidation catalyst, and to investigate their activity for this important and challenging step in obtaining hydrogen gas for a renewable energy source.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2360620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N-Heterocyclic carbenes based on a triazine backbones: synthesis</w:t>
                  </w:r>
                  <w:r w:rsidRPr="001F5B5C">
                    <w:rPr>
                      <w:rFonts w:ascii="Times New Roman" w:eastAsia="Times New Roman" w:hAnsi="Times New Roman"/>
                      <w:b/>
                      <w:bCs/>
                      <w:sz w:val="20"/>
                      <w:szCs w:val="20"/>
                    </w:rPr>
                    <w:t xml:space="preserve"> </w:t>
                  </w:r>
                  <w:r w:rsidRPr="001F5B5C">
                    <w:rPr>
                      <w:rFonts w:ascii="Times New Roman" w:eastAsia="Times New Roman" w:hAnsi="Times New Roman"/>
                      <w:sz w:val="20"/>
                      <w:szCs w:val="20"/>
                    </w:rPr>
                    <w:t>and complexation to transition metals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Daniela Tapu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dtdana@yahoo.com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Aqsa Adnan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Daniela Tapu</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Kennesaw State University, Kennesaw,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chemical industry relies heavily on the use of metal catalysts for the economical production of a wide variety of petrochemicals in use today. Metal-catalyzed reactions can be both economically and environmentally advantageous because catalysts allow transformations to be carried out under mild conditions with high selectivity and yield. As a result, it is extremely important to develop new catalyst systems that offer increased activity with inexpensive materials under mild conditions. Due to their functional and synthetic diversity, air and moisture stability, nontoxicity, as well as a high affinity toward a wide range of main group and transition metals, nucleophilic carbenes, namely N-heterocyclic carbenes (NHCs), have shown remarkable utility as ligands for organometallic catalysts and as organocatalysts. Vital to the advancement of NHC-based catalysts has been the design and synthesis of new mono- and multitopic NHCs that display an array of electronic and steric properties. The synthesis and properties of a new class of NHCs derived from a triazine backbone will be presented. These ligands have the potential to find tremendous utility as building blocks for homo- and heterometallic transition metal complexes</w:t>
                  </w:r>
                  <w:r w:rsidRPr="001F5B5C">
                    <w:rPr>
                      <w:rFonts w:ascii="Times New Roman" w:eastAsia="Times New Roman" w:hAnsi="Times New Roman"/>
                      <w:b/>
                      <w:bCs/>
                      <w:sz w:val="20"/>
                      <w:szCs w:val="20"/>
                    </w:rPr>
                    <w:t>.</w:t>
                  </w:r>
                  <w:r w:rsidRPr="001F5B5C">
                    <w:rPr>
                      <w:rFonts w:ascii="Times New Roman" w:eastAsia="Times New Roman" w:hAnsi="Times New Roman"/>
                      <w:sz w:val="20"/>
                      <w:szCs w:val="20"/>
                    </w:rPr>
                    <w:t xml:space="preserve"> Complexes of catalytically relevant metal centers (rhodium and iridium) of these carbenes will be presented.</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2361070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Chemical Analysis of KP1019–(Poly)Lactic Acid Nanoparticle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Deven Patel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djpatel@bsc.edu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Deven Patel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Laura K. Stultz</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Birmingham-Southern College, Pelham,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Platinum-based chemotherapeutic agents are widely used to combat malignant, non-metastatic cancers including testicular cancer, lung cancer, and lymphoma. These drugs have had success in treating these diseases, but come with a variety of harmful side effects due to their inability to target cancer cells exclusively. Indazolium </w:t>
                  </w:r>
                  <w:r w:rsidRPr="001F5B5C">
                    <w:rPr>
                      <w:rFonts w:ascii="Times New Roman" w:eastAsia="Times New Roman" w:hAnsi="Times New Roman"/>
                      <w:i/>
                      <w:iCs/>
                      <w:sz w:val="20"/>
                      <w:szCs w:val="20"/>
                    </w:rPr>
                    <w:t>trans</w:t>
                  </w:r>
                  <w:r w:rsidRPr="001F5B5C">
                    <w:rPr>
                      <w:rFonts w:ascii="Times New Roman" w:eastAsia="Times New Roman" w:hAnsi="Times New Roman"/>
                      <w:sz w:val="20"/>
                      <w:szCs w:val="20"/>
                    </w:rPr>
                    <w:t>-[</w:t>
                  </w:r>
                  <w:proofErr w:type="gramStart"/>
                  <w:r w:rsidRPr="001F5B5C">
                    <w:rPr>
                      <w:rFonts w:ascii="Times New Roman" w:eastAsia="Times New Roman" w:hAnsi="Times New Roman"/>
                      <w:sz w:val="20"/>
                      <w:szCs w:val="20"/>
                    </w:rPr>
                    <w:t>tetrachlorobis(</w:t>
                  </w:r>
                  <w:proofErr w:type="gramEnd"/>
                  <w:r w:rsidRPr="001F5B5C">
                    <w:rPr>
                      <w:rFonts w:ascii="Times New Roman" w:eastAsia="Times New Roman" w:hAnsi="Times New Roman"/>
                      <w:sz w:val="20"/>
                      <w:szCs w:val="20"/>
                    </w:rPr>
                    <w:t>1H-indazole)ruthenate(III)], or KP1019, is a possible alternative to the current platinum-based anticancer drugs and is theorized to have a strong specificity towards cancer cells and is known to have no dose-limiting toxicity like its platinum-based counterparts. Although KP1019 appears to be promising, its effectiveness may be limited due to its low solubility in aqueous solutions. To combat this problem, synthetic drug carriers such as polylactic acid (PLA) can be used to form nanoparticles containing KP1019. To synthesize these nanoparticles, KP1019 and PLA were dissolved using nonpolar, organic solvents and combined with an aqueous surfactant solution to aid in formation of the nanoparticles. The organic solvents were then evaporated from the solution and chemical analysis was conducted on the product. After synthesis, it was observed that KP1019/PLA nanoparticles did not appear to precipitate out of solution. UV-visible spectrophotometry was conducted over time to determine if KP1019, PLA, and the surfactant (Tween 80) were indeed interacting. Over time, the characteristic KP1019 absorbance peaks increased, indicating an interaction was occurring. A closer look at KP1019 and its interaction between the PLA or surfactant solution individually showed that there was a strong interaction with KP1019 and the surfactant. The chemical properties of the KP1019/PLA nanoparticles will be described.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2365144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characterization, and reactivity of tris(2,2,2-trifluorethyl)phosphite complexes of ruthenium(II) with electron-rich arene ligands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Patrick Zdunek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hqz791@mocs.utc.edu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Patrick Zdunek</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John P. Lee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Chattanooga, Chattanooga, TN, United States. </w:t>
                  </w:r>
                  <w:r w:rsidRPr="001F5B5C">
                    <w:rPr>
                      <w:rFonts w:ascii="Times New Roman" w:eastAsia="Times New Roman" w:hAnsi="Times New Roman"/>
                      <w:sz w:val="20"/>
                      <w:szCs w:val="20"/>
                    </w:rPr>
                    <w:br/>
                    <w:t xml:space="preserve">2. Chemistry, University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Ruthenium(II)-phosphite complexes of the type [Ru(</w:t>
                  </w:r>
                  <w:r w:rsidRPr="001F5B5C">
                    <w:rPr>
                      <w:rFonts w:ascii="Times New Roman" w:eastAsia="Times New Roman" w:hAnsi="Times New Roman"/>
                      <w:i/>
                      <w:iCs/>
                      <w:sz w:val="20"/>
                      <w:szCs w:val="20"/>
                    </w:rPr>
                    <w:t>p</w:t>
                  </w:r>
                  <w:r w:rsidRPr="001F5B5C">
                    <w:rPr>
                      <w:rFonts w:ascii="Times New Roman" w:eastAsia="Times New Roman" w:hAnsi="Times New Roman"/>
                      <w:sz w:val="20"/>
                      <w:szCs w:val="20"/>
                    </w:rPr>
                    <w:t>-cymene){P(OCH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[Ru(hexamethylbenzene){P(OCH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and [Ru(Cp*){P(OCH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(Cl)] (</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xml:space="preserve">) have been prepared and characterized by multi-nuclear NMR and UV-vis spectroscopy in addition to single-crystal X-ray diffraction. Complex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was further reacted to produce [</w:t>
                  </w:r>
                  <w:proofErr w:type="gramStart"/>
                  <w:r w:rsidRPr="001F5B5C">
                    <w:rPr>
                      <w:rFonts w:ascii="Times New Roman" w:eastAsia="Times New Roman" w:hAnsi="Times New Roman"/>
                      <w:sz w:val="20"/>
                      <w:szCs w:val="20"/>
                    </w:rPr>
                    <w:t>Ru(</w:t>
                  </w:r>
                  <w:proofErr w:type="gramEnd"/>
                  <w:r w:rsidRPr="001F5B5C">
                    <w:rPr>
                      <w:rFonts w:ascii="Times New Roman" w:eastAsia="Times New Roman" w:hAnsi="Times New Roman"/>
                      <w:i/>
                      <w:iCs/>
                      <w:sz w:val="20"/>
                      <w:szCs w:val="20"/>
                    </w:rPr>
                    <w:t>p</w:t>
                  </w:r>
                  <w:r w:rsidRPr="001F5B5C">
                    <w:rPr>
                      <w:rFonts w:ascii="Times New Roman" w:eastAsia="Times New Roman" w:hAnsi="Times New Roman"/>
                      <w:sz w:val="20"/>
                      <w:szCs w:val="20"/>
                    </w:rPr>
                    <w:t>-cymene){P(OCH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}(Ph)(OTf)]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xml:space="preserve">) as a potential catalyst for olefin hydroarylation. Olefin hydroarylation involves the formation of a new C-C bond via addition of an aromatic C-H bond across an olefin. In the presence of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xml:space="preserve">, catalytic olefin hydroarylation attempts involving benzene and either ethylene or 1-hexene were completed. New directions involving an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-heterocyclic carbene (NHC) complex of the type [Ru(</w:t>
                  </w:r>
                  <w:r w:rsidRPr="001F5B5C">
                    <w:rPr>
                      <w:rFonts w:ascii="Times New Roman" w:eastAsia="Times New Roman" w:hAnsi="Times New Roman"/>
                      <w:i/>
                      <w:iCs/>
                      <w:sz w:val="20"/>
                      <w:szCs w:val="20"/>
                    </w:rPr>
                    <w:t>p</w:t>
                  </w:r>
                  <w:r w:rsidRPr="001F5B5C">
                    <w:rPr>
                      <w:rFonts w:ascii="Times New Roman" w:eastAsia="Times New Roman" w:hAnsi="Times New Roman"/>
                      <w:sz w:val="20"/>
                      <w:szCs w:val="20"/>
                    </w:rPr>
                    <w:t>-cymene)(C^OH)(Cl)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w:t>
                  </w:r>
                  <w:r w:rsidRPr="001F5B5C">
                    <w:rPr>
                      <w:rFonts w:ascii="Times New Roman" w:eastAsia="Times New Roman" w:hAnsi="Times New Roman"/>
                      <w:b/>
                      <w:bCs/>
                      <w:sz w:val="20"/>
                      <w:szCs w:val="20"/>
                    </w:rPr>
                    <w:t>5</w:t>
                  </w:r>
                  <w:r w:rsidRPr="001F5B5C">
                    <w:rPr>
                      <w:rFonts w:ascii="Times New Roman" w:eastAsia="Times New Roman" w:hAnsi="Times New Roman"/>
                      <w:sz w:val="20"/>
                      <w:szCs w:val="20"/>
                    </w:rPr>
                    <w:t xml:space="preserve">), where C^OH = 3-methyl-1-(3,3-dimethyl-2-butanol)imidazolin-2-ylidene, will be described where the tris(2,2,2-trifluorethyl)phosphite has been replaced with a proposed hemilabile hydroxyl functionalized NHC ligand. The structural effects of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xml:space="preserve"> with different neutral and anionic aromatic ligands, catalytic C-H functionalization attempts with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and future directions with hemilabile hydroxyl NHC ligands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2365392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Toxicity Studies of C</w:t>
                  </w:r>
                  <w:r w:rsidRPr="001F5B5C">
                    <w:rPr>
                      <w:rFonts w:ascii="Times New Roman" w:eastAsia="Times New Roman" w:hAnsi="Times New Roman"/>
                      <w:sz w:val="20"/>
                      <w:szCs w:val="20"/>
                      <w:vertAlign w:val="subscript"/>
                    </w:rPr>
                    <w:t>12</w:t>
                  </w:r>
                  <w:r w:rsidRPr="001F5B5C">
                    <w:rPr>
                      <w:rFonts w:ascii="Times New Roman" w:eastAsia="Times New Roman" w:hAnsi="Times New Roman"/>
                      <w:sz w:val="20"/>
                      <w:szCs w:val="20"/>
                    </w:rPr>
                    <w:t>EDMAB Coated Gold Nanorods: A Comparison to CTAB</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Josh Allen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ja03825@georgiasouthern.edu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John W. Stone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Josh Allen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Junpeng Xu</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w:t>
                  </w:r>
                  <w:proofErr w:type="gramStart"/>
                  <w:r w:rsidRPr="001F5B5C">
                    <w:rPr>
                      <w:rFonts w:ascii="Times New Roman" w:eastAsia="Times New Roman" w:hAnsi="Times New Roman"/>
                      <w:sz w:val="20"/>
                      <w:szCs w:val="20"/>
                    </w:rPr>
                    <w:t>Chemistry ,</w:t>
                  </w:r>
                  <w:proofErr w:type="gramEnd"/>
                  <w:r w:rsidRPr="001F5B5C">
                    <w:rPr>
                      <w:rFonts w:ascii="Times New Roman" w:eastAsia="Times New Roman" w:hAnsi="Times New Roman"/>
                      <w:sz w:val="20"/>
                      <w:szCs w:val="20"/>
                    </w:rPr>
                    <w:t xml:space="preserve"> Georgia Southern University , Statesboro ,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Over the last 15 years the number of publications centered </w:t>
                  </w:r>
                  <w:proofErr w:type="gramStart"/>
                  <w:r w:rsidRPr="001F5B5C">
                    <w:rPr>
                      <w:rFonts w:ascii="Times New Roman" w:eastAsia="Times New Roman" w:hAnsi="Times New Roman"/>
                      <w:sz w:val="20"/>
                      <w:szCs w:val="20"/>
                    </w:rPr>
                    <w:t>around</w:t>
                  </w:r>
                  <w:proofErr w:type="gramEnd"/>
                  <w:r w:rsidRPr="001F5B5C">
                    <w:rPr>
                      <w:rFonts w:ascii="Times New Roman" w:eastAsia="Times New Roman" w:hAnsi="Times New Roman"/>
                      <w:sz w:val="20"/>
                      <w:szCs w:val="20"/>
                    </w:rPr>
                    <w:t xml:space="preserve"> nanoparticles has increased significantly. Gold nanoparticles have been the subject of many investigations owing to their interesting optical properties, long-term stability, and minimal cytotoxicity. Gold nanorods are often synthesized following a seed-mediated protocol in the presence of the cationic surfactant hexadecyltrimethylammonium bromide (CTAB) with great success. CTAB forms a micelle bilayer on the side faces of the gold promoting rod-like growth. Though effective, CTAB possesses properties that are hazardous to the environment. In the current study we have investigated the alternate cationic surfactant, dodecylethyldimethylammonium bromide (C</w:t>
                  </w:r>
                  <w:r w:rsidRPr="001F5B5C">
                    <w:rPr>
                      <w:rFonts w:ascii="Times New Roman" w:eastAsia="Times New Roman" w:hAnsi="Times New Roman"/>
                      <w:sz w:val="20"/>
                      <w:szCs w:val="20"/>
                      <w:vertAlign w:val="subscript"/>
                    </w:rPr>
                    <w:t>12</w:t>
                  </w:r>
                  <w:r w:rsidRPr="001F5B5C">
                    <w:rPr>
                      <w:rFonts w:ascii="Times New Roman" w:eastAsia="Times New Roman" w:hAnsi="Times New Roman"/>
                      <w:sz w:val="20"/>
                      <w:szCs w:val="20"/>
                    </w:rPr>
                    <w:t>EDMAB), as a possible growth-directing alternative. C</w:t>
                  </w:r>
                  <w:r w:rsidRPr="001F5B5C">
                    <w:rPr>
                      <w:rFonts w:ascii="Times New Roman" w:eastAsia="Times New Roman" w:hAnsi="Times New Roman"/>
                      <w:sz w:val="20"/>
                      <w:szCs w:val="20"/>
                      <w:vertAlign w:val="subscript"/>
                    </w:rPr>
                    <w:t>12</w:t>
                  </w:r>
                  <w:r w:rsidRPr="001F5B5C">
                    <w:rPr>
                      <w:rFonts w:ascii="Times New Roman" w:eastAsia="Times New Roman" w:hAnsi="Times New Roman"/>
                      <w:sz w:val="20"/>
                      <w:szCs w:val="20"/>
                    </w:rPr>
                    <w:t>EDMAB has been found to have similar capabilities as those of CTAB with respect to gold nanorod synthesis yet pose a smaller threat to environmental safety and overall health based on reported MSDS data. In addition to successful gold nanorod growth as measured by UV-Vis spectroscopy and transmission electron microscopy, evidence of aspect ratio control from added AgNO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xml:space="preserve"> has been found and is consistent with the well-documented CTAB approach. Furthermore, preliminary cell studies suggest that at specific concentrations rods coated with C</w:t>
                  </w:r>
                  <w:r w:rsidRPr="001F5B5C">
                    <w:rPr>
                      <w:rFonts w:ascii="Times New Roman" w:eastAsia="Times New Roman" w:hAnsi="Times New Roman"/>
                      <w:sz w:val="20"/>
                      <w:szCs w:val="20"/>
                      <w:vertAlign w:val="subscript"/>
                    </w:rPr>
                    <w:t>12</w:t>
                  </w:r>
                  <w:r w:rsidRPr="001F5B5C">
                    <w:rPr>
                      <w:rFonts w:ascii="Times New Roman" w:eastAsia="Times New Roman" w:hAnsi="Times New Roman"/>
                      <w:sz w:val="20"/>
                      <w:szCs w:val="20"/>
                    </w:rPr>
                    <w:t>EDMAB are less toxic in HEp-2 cells over 48 hours as measured by MTT.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5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2365650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Amyloid beta (Aβ) peptides and the exposure of their hydrophobic residues upon copper(II) complex formtion: Probing mechanisms of amyloid plaque formation in human and rat peptide with fluorescence spectroscopy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Sarah Sipe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sipes11@students.ecu.edu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Sarah Sipe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Anne M. Spuches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East Carolina University, Greenville, NC, United States. </w:t>
                  </w:r>
                  <w:r w:rsidRPr="001F5B5C">
                    <w:rPr>
                      <w:rFonts w:ascii="Times New Roman" w:eastAsia="Times New Roman" w:hAnsi="Times New Roman"/>
                      <w:sz w:val="20"/>
                      <w:szCs w:val="20"/>
                    </w:rPr>
                    <w:br/>
                    <w:t xml:space="preserve">2. Department of Chemistry, East Carolina University, Greenville,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Alzheimer’s Disease (AD) is a progressive, neurodegenerative disease that affects 35 million people worldwide and is the 6th leading cause of death in the United States. AD is characterized by neurofibrillary tangles and amyloid plaques in the brain. The plaques are formed when amyloid beta (Aβ) peptides aggregate at their hydrophobic residues. Elevated concentrations of essential metals, copper, iron, and zinc, have been detected in the plaques and research indicates that the presence of metals speed up the formation of the plaques. Previous binding studies have determined that metal binding occurs within the first 16 amino acids of the Aβ peptide, which are usually 40 or 42 amino acids long. The rat Aβ peptide does not aggregate to an appreciable extent and differs by only 3 amino acid point substitutions (R5G, Y10F, and H13R). Based on previous thermodynamic binding studies from the Spuches lab, the exposure of the peptides’ hydrophobic residues when bound to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 xml:space="preserve">II) are hypothesized to be more accessible in the human peptide than the rat. To test this hypothesis, rat and human Aβ28 peptides in the presence and absence of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 xml:space="preserve">II) are probed with hydrophobic fluorophore 1,8-ANS. A decrease in fluorescence is expected if the hydrophobic residues of the peptide-copper complexes become buried upon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 xml:space="preserve">II) binding. Interesting results shed light on potential structure of both peptides in the presence and absence of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II).</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Sacco C, Skowronsky RA, Gade S, Kenney AM, Spuches AM</w:t>
                  </w:r>
                  <w:r w:rsidRPr="001F5B5C">
                    <w:rPr>
                      <w:rFonts w:ascii="Times New Roman" w:eastAsia="Times New Roman" w:hAnsi="Times New Roman"/>
                      <w:sz w:val="20"/>
                      <w:szCs w:val="20"/>
                    </w:rPr>
                    <w:br/>
                    <w:t>(2012) J Biol Inorg Chem 17:531–541</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Hong L, Simon JD (2011) Metallomics 3:262–266</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Eury H, Bijani C, Faller P, Hureau C (2011) Angew Chem Int Ed</w:t>
                  </w:r>
                  <w:r w:rsidRPr="001F5B5C">
                    <w:rPr>
                      <w:rFonts w:ascii="Times New Roman" w:eastAsia="Times New Roman" w:hAnsi="Times New Roman"/>
                      <w:sz w:val="20"/>
                      <w:szCs w:val="20"/>
                    </w:rPr>
                    <w:br/>
                    <w:t>50:901–905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2365871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chromium(III) nutritional supplement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Amber Morales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amorales2@mc.edu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Amber G. Morales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John B. Vincent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The University of Alabama, Tuscaloosa, AL, United States. </w:t>
                  </w:r>
                  <w:r w:rsidRPr="001F5B5C">
                    <w:rPr>
                      <w:rFonts w:ascii="Times New Roman" w:eastAsia="Times New Roman" w:hAnsi="Times New Roman"/>
                      <w:sz w:val="20"/>
                      <w:szCs w:val="20"/>
                    </w:rPr>
                    <w:br/>
                    <w:t xml:space="preserve">2. Department of Chemistry, The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Nutritional supplements containing </w:t>
                  </w:r>
                  <w:proofErr w:type="gramStart"/>
                  <w:r w:rsidRPr="001F5B5C">
                    <w:rPr>
                      <w:rFonts w:ascii="Times New Roman" w:eastAsia="Times New Roman" w:hAnsi="Times New Roman"/>
                      <w:sz w:val="20"/>
                      <w:szCs w:val="20"/>
                    </w:rPr>
                    <w:t>chromium(</w:t>
                  </w:r>
                  <w:proofErr w:type="gramEnd"/>
                  <w:r w:rsidRPr="001F5B5C">
                    <w:rPr>
                      <w:rFonts w:ascii="Times New Roman" w:eastAsia="Times New Roman" w:hAnsi="Times New Roman"/>
                      <w:sz w:val="20"/>
                      <w:szCs w:val="20"/>
                    </w:rPr>
                    <w:t xml:space="preserve">III) and a particular amino acid metabolite individually have varied reported effects on the body. While Cr is no longer considered an essential trace element, the nutritional versus pharmacological effects in the human body, specifically concerning insulin resistant conditions such as type </w:t>
                  </w:r>
                  <w:proofErr w:type="gramStart"/>
                  <w:r w:rsidRPr="001F5B5C">
                    <w:rPr>
                      <w:rFonts w:ascii="Times New Roman" w:eastAsia="Times New Roman" w:hAnsi="Times New Roman"/>
                      <w:sz w:val="20"/>
                      <w:szCs w:val="20"/>
                    </w:rPr>
                    <w:t>2 diabetes,</w:t>
                  </w:r>
                  <w:proofErr w:type="gramEnd"/>
                  <w:r w:rsidRPr="001F5B5C">
                    <w:rPr>
                      <w:rFonts w:ascii="Times New Roman" w:eastAsia="Times New Roman" w:hAnsi="Times New Roman"/>
                      <w:sz w:val="20"/>
                      <w:szCs w:val="20"/>
                    </w:rPr>
                    <w:t xml:space="preserve"> are still unclear. In an effort to combine the purported enhanced high-intensity exercise performance associated with the amino acid metabolite and the effects of Cr into one supplement, </w:t>
                  </w:r>
                  <w:proofErr w:type="gramStart"/>
                  <w:r w:rsidRPr="001F5B5C">
                    <w:rPr>
                      <w:rFonts w:ascii="Times New Roman" w:eastAsia="Times New Roman" w:hAnsi="Times New Roman"/>
                      <w:sz w:val="20"/>
                      <w:szCs w:val="20"/>
                    </w:rPr>
                    <w:t>chromium(</w:t>
                  </w:r>
                  <w:proofErr w:type="gramEnd"/>
                  <w:r w:rsidRPr="001F5B5C">
                    <w:rPr>
                      <w:rFonts w:ascii="Times New Roman" w:eastAsia="Times New Roman" w:hAnsi="Times New Roman"/>
                      <w:sz w:val="20"/>
                      <w:szCs w:val="20"/>
                    </w:rPr>
                    <w:t>III) salts and the amino acid metabolite acid have been combined in solvents of varying polarity and in the presence or absence of stabilizing ligands to form a trinuclear compound of the target composition. Spectroscopic and mass spectrometric studies have been utilized to establish the composition and properties of the product. A.G.M. was supported by an NSF REU award to J.B.V. and S.A. Woski.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2366089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Iron-catalyzed hydrophosphination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Jade Izaguirre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jade.izaguirre@vikings.berry.edu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Jade N. Izaguirre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Ruth L. Webster</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Anne G. Glenn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 Berry College, Mount Berry, GA, United States. </w:t>
                  </w:r>
                  <w:r w:rsidRPr="001F5B5C">
                    <w:rPr>
                      <w:rFonts w:ascii="Times New Roman" w:eastAsia="Times New Roman" w:hAnsi="Times New Roman"/>
                      <w:sz w:val="20"/>
                      <w:szCs w:val="20"/>
                    </w:rPr>
                    <w:br/>
                    <w:t xml:space="preserve">2. Department of Chemistry, Guilford College, Greensboro, NC, United States. </w:t>
                  </w:r>
                  <w:r w:rsidRPr="001F5B5C">
                    <w:rPr>
                      <w:rFonts w:ascii="Times New Roman" w:eastAsia="Times New Roman" w:hAnsi="Times New Roman"/>
                      <w:sz w:val="20"/>
                      <w:szCs w:val="20"/>
                    </w:rPr>
                    <w:br/>
                    <w:t xml:space="preserve">3. Department of Chemistry, University of North Carolina, Greensboro, NC, United States. </w:t>
                  </w:r>
                  <w:r w:rsidRPr="001F5B5C">
                    <w:rPr>
                      <w:rFonts w:ascii="Times New Roman" w:eastAsia="Times New Roman" w:hAnsi="Times New Roman"/>
                      <w:sz w:val="20"/>
                      <w:szCs w:val="20"/>
                    </w:rPr>
                    <w:br/>
                    <w:t xml:space="preserve">4. School of Chemistry, University of Bath, Bath, BA2 7AY, United Kingdom.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Hydrophosphination reactions are widely considered an ideal way of creating carbon-phosphorus bonds because they allow for an easy way to achieve molecular complexity from simple, commercially available starting materials and also have the potential to be 100% atom economic reactions. We describe our attempts at catalyzing these reactions with the cheap, iron centered complexes </w:t>
                  </w:r>
                  <w:proofErr w:type="gramStart"/>
                  <w:r w:rsidRPr="001F5B5C">
                    <w:rPr>
                      <w:rFonts w:ascii="Times New Roman" w:eastAsia="Times New Roman" w:hAnsi="Times New Roman"/>
                      <w:sz w:val="20"/>
                      <w:szCs w:val="20"/>
                    </w:rPr>
                    <w:t>Fe(</w:t>
                  </w:r>
                  <w:proofErr w:type="gramEnd"/>
                  <w:r w:rsidRPr="001F5B5C">
                    <w:rPr>
                      <w:rFonts w:ascii="Times New Roman" w:eastAsia="Times New Roman" w:hAnsi="Times New Roman"/>
                      <w:sz w:val="20"/>
                      <w:szCs w:val="20"/>
                    </w:rPr>
                    <w:t>N(SiMe</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and Fe(N(SiMe</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2366296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Fate of Dietary Copper - Is the Form of Copper in the Diet Key to Prevent It from Becoming Toxic?</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Mary Kuykendall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mkkuykendall@crimson.ua.edu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Mary K. Kuykendall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Rachel E. Honan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B. Vincent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The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While copper is an essential trace elements for humans, copper in the form of copper(II) salts in the diet has been proposed to be associated with the increased rate of Alzheimer’s disease, a disease of increasing loss of cognition leading to dementia with age. Most notably, recent studies have linked the use of copper plumbing and free copper levels (</w:t>
                  </w:r>
                  <w:proofErr w:type="gramStart"/>
                  <w:r w:rsidRPr="001F5B5C">
                    <w:rPr>
                      <w:rFonts w:ascii="Times New Roman" w:eastAsia="Times New Roman" w:hAnsi="Times New Roman"/>
                      <w:sz w:val="20"/>
                      <w:szCs w:val="20"/>
                    </w:rPr>
                    <w:t>copper(</w:t>
                  </w:r>
                  <w:proofErr w:type="gramEnd"/>
                  <w:r w:rsidRPr="001F5B5C">
                    <w:rPr>
                      <w:rFonts w:ascii="Times New Roman" w:eastAsia="Times New Roman" w:hAnsi="Times New Roman"/>
                      <w:sz w:val="20"/>
                      <w:szCs w:val="20"/>
                    </w:rPr>
                    <w:t xml:space="preserve">II)) in the body with Alzheimer’s disease. However, the fate of dietary copper in the gastrointestinal tract is poorly understood. Most foods contain copper in the form of copper(I), as the copper is bound to proteins and other biomolecules; however, in the presence of air and water, copper(I) can rapidly be converted into copper(II). In the presence of the appropriate chemicals to bind the copper, the reverse reaction can also potentially take place. The extent to which this interconversion can take place in the gastrointestinal tract is unknown. Starting with artificial gastric juice and intestinal fluid and building to an artificial meal exposed to the fluids, the fate of copper(I) and copper(II) species in simulated gastric and intestinal environments will be determined using a variety of spectroscopic and magnetic techniques. Establishing conditions that can lead to the generation of </w:t>
                  </w:r>
                  <w:proofErr w:type="gramStart"/>
                  <w:r w:rsidRPr="001F5B5C">
                    <w:rPr>
                      <w:rFonts w:ascii="Times New Roman" w:eastAsia="Times New Roman" w:hAnsi="Times New Roman"/>
                      <w:sz w:val="20"/>
                      <w:szCs w:val="20"/>
                    </w:rPr>
                    <w:t>copper(</w:t>
                  </w:r>
                  <w:proofErr w:type="gramEnd"/>
                  <w:r w:rsidRPr="001F5B5C">
                    <w:rPr>
                      <w:rFonts w:ascii="Times New Roman" w:eastAsia="Times New Roman" w:hAnsi="Times New Roman"/>
                      <w:sz w:val="20"/>
                      <w:szCs w:val="20"/>
                    </w:rPr>
                    <w:t>II) salts could lead to changes in diet that could minimize risk for the development of Alzhemier’s disease and related conditions.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2367225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Luminescent Enhancement of Europium (III)-doped GaF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xml:space="preserve"> Nanoparticles by Surface Modification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Laney Browder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lkbrowder1@catamount.wcu.edu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Laney K. Browder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Channa R. De Silva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Physics, Western Carolina University, Cullowhee,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Lanthanide fluoride-based nanoparticles have attracted attention due to their unique luminescent characteristics and potential use in biomedical applications. </w:t>
                  </w:r>
                  <w:proofErr w:type="gramStart"/>
                  <w:r w:rsidRPr="001F5B5C">
                    <w:rPr>
                      <w:rFonts w:ascii="Times New Roman" w:eastAsia="Times New Roman" w:hAnsi="Times New Roman"/>
                      <w:sz w:val="20"/>
                      <w:szCs w:val="20"/>
                    </w:rPr>
                    <w:t>Eu(</w:t>
                  </w:r>
                  <w:proofErr w:type="gramEnd"/>
                  <w:r w:rsidRPr="001F5B5C">
                    <w:rPr>
                      <w:rFonts w:ascii="Times New Roman" w:eastAsia="Times New Roman" w:hAnsi="Times New Roman"/>
                      <w:sz w:val="20"/>
                      <w:szCs w:val="20"/>
                    </w:rPr>
                    <w:t>III)-doped LaF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xml:space="preserve"> nanoparticles have been extensively studied for luminescent applications where Eu(III)-centered red luminescence at 615 nm is promising for cellular imaging. Recent literature promises the use of GdF</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xml:space="preserve"> as an alternative matrix for doping </w:t>
                  </w:r>
                  <w:proofErr w:type="gramStart"/>
                  <w:r w:rsidRPr="001F5B5C">
                    <w:rPr>
                      <w:rFonts w:ascii="Times New Roman" w:eastAsia="Times New Roman" w:hAnsi="Times New Roman"/>
                      <w:sz w:val="20"/>
                      <w:szCs w:val="20"/>
                    </w:rPr>
                    <w:t>Eu(</w:t>
                  </w:r>
                  <w:proofErr w:type="gramEnd"/>
                  <w:r w:rsidRPr="001F5B5C">
                    <w:rPr>
                      <w:rFonts w:ascii="Times New Roman" w:eastAsia="Times New Roman" w:hAnsi="Times New Roman"/>
                      <w:sz w:val="20"/>
                      <w:szCs w:val="20"/>
                    </w:rPr>
                    <w:t xml:space="preserve">III) metal ions where the electronic structure of Gd(III) ions may promote energy transfer between Gd(III) and Eu(III) excited states. Notwithstanding the current progress, the use of </w:t>
                  </w:r>
                  <w:proofErr w:type="gramStart"/>
                  <w:r w:rsidRPr="001F5B5C">
                    <w:rPr>
                      <w:rFonts w:ascii="Times New Roman" w:eastAsia="Times New Roman" w:hAnsi="Times New Roman"/>
                      <w:sz w:val="20"/>
                      <w:szCs w:val="20"/>
                    </w:rPr>
                    <w:t>Eu(</w:t>
                  </w:r>
                  <w:proofErr w:type="gramEnd"/>
                  <w:r w:rsidRPr="001F5B5C">
                    <w:rPr>
                      <w:rFonts w:ascii="Times New Roman" w:eastAsia="Times New Roman" w:hAnsi="Times New Roman"/>
                      <w:sz w:val="20"/>
                      <w:szCs w:val="20"/>
                    </w:rPr>
                    <w:t xml:space="preserve">III)-based nanoparticles in cellular imaging is limited by their low absorption coefficients due to the parity forbidden nature of 4f-4f electronic transitions. With such recognition, we are in the process of developing a sensitization process where the nanoparticle surface is functionalized with organic chromophores capable of strong light absorption. We have synthesized citric acid coated </w:t>
                  </w:r>
                  <w:proofErr w:type="gramStart"/>
                  <w:r w:rsidRPr="001F5B5C">
                    <w:rPr>
                      <w:rFonts w:ascii="Times New Roman" w:eastAsia="Times New Roman" w:hAnsi="Times New Roman"/>
                      <w:sz w:val="20"/>
                      <w:szCs w:val="20"/>
                    </w:rPr>
                    <w:t>Eu(</w:t>
                  </w:r>
                  <w:proofErr w:type="gramEnd"/>
                  <w:r w:rsidRPr="001F5B5C">
                    <w:rPr>
                      <w:rFonts w:ascii="Times New Roman" w:eastAsia="Times New Roman" w:hAnsi="Times New Roman"/>
                      <w:sz w:val="20"/>
                      <w:szCs w:val="20"/>
                    </w:rPr>
                    <w:t>III)-doped GdF</w:t>
                  </w:r>
                  <w:r w:rsidRPr="001F5B5C">
                    <w:rPr>
                      <w:rFonts w:ascii="Times New Roman" w:eastAsia="Times New Roman" w:hAnsi="Times New Roman"/>
                      <w:sz w:val="20"/>
                      <w:szCs w:val="20"/>
                      <w:vertAlign w:val="subscript"/>
                    </w:rPr>
                    <w:t xml:space="preserve">3 </w:t>
                  </w:r>
                  <w:r w:rsidRPr="001F5B5C">
                    <w:rPr>
                      <w:rFonts w:ascii="Times New Roman" w:eastAsia="Times New Roman" w:hAnsi="Times New Roman"/>
                      <w:sz w:val="20"/>
                      <w:szCs w:val="20"/>
                    </w:rPr>
                    <w:t xml:space="preserve">nanoparticles via a water-based co-precipitation method and the nanoparticles were functionalized with ligands capable of strong light absorption. The nanoparticles were characterized using absorption and fluorescence spectroscopy, Fourier transform infra-red spectroscopy, powder X-ray diffraction, and transmission electron microscopy. The luminescent quantum yield measurements of the nanoparticles will be discussed in terms of the degree of </w:t>
                  </w:r>
                  <w:proofErr w:type="gramStart"/>
                  <w:r w:rsidRPr="001F5B5C">
                    <w:rPr>
                      <w:rFonts w:ascii="Times New Roman" w:eastAsia="Times New Roman" w:hAnsi="Times New Roman"/>
                      <w:sz w:val="20"/>
                      <w:szCs w:val="20"/>
                    </w:rPr>
                    <w:t>Eu(</w:t>
                  </w:r>
                  <w:proofErr w:type="gramEnd"/>
                  <w:r w:rsidRPr="001F5B5C">
                    <w:rPr>
                      <w:rFonts w:ascii="Times New Roman" w:eastAsia="Times New Roman" w:hAnsi="Times New Roman"/>
                      <w:sz w:val="20"/>
                      <w:szCs w:val="20"/>
                    </w:rPr>
                    <w:t>III)-doping and surface modification.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2367231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phosphorus containing ligands for cobalt complexes for hydrogen production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Kristin Knight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knight.kristin.n@gmail.com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Kristin Knight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at Chattanooga, Collierville,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By modifying different ligands derived from ‘N,N-bis(2-pyridinylmethyl)- 2,2’-bipyridine-6-methanamine (DPA-Bpy) by replacing nitrogens with phosphorus we can determine the electronic effects of ligand scaffold of cobalt complexes on the catalytic properties of H</w:t>
                  </w:r>
                  <w:r w:rsidRPr="001F5B5C">
                    <w:rPr>
                      <w:rFonts w:ascii="Cambria Math" w:eastAsia="Times New Roman" w:hAnsi="Cambria Math" w:cs="Cambria Math"/>
                      <w:sz w:val="20"/>
                      <w:szCs w:val="20"/>
                    </w:rPr>
                    <w:t>₂</w:t>
                  </w:r>
                  <w:r w:rsidRPr="001F5B5C">
                    <w:rPr>
                      <w:rFonts w:ascii="Times New Roman" w:eastAsia="Times New Roman" w:hAnsi="Times New Roman"/>
                      <w:sz w:val="20"/>
                      <w:szCs w:val="20"/>
                    </w:rPr>
                    <w:t xml:space="preserve"> production. Our study shows that not only does the placement of substitutions on pyridyl rings affect the H</w:t>
                  </w:r>
                  <w:r w:rsidRPr="001F5B5C">
                    <w:rPr>
                      <w:rFonts w:ascii="Cambria Math" w:eastAsia="Times New Roman" w:hAnsi="Cambria Math" w:cs="Cambria Math"/>
                      <w:sz w:val="20"/>
                      <w:szCs w:val="20"/>
                    </w:rPr>
                    <w:t>₂</w:t>
                  </w:r>
                  <w:r w:rsidRPr="001F5B5C">
                    <w:rPr>
                      <w:rFonts w:ascii="Times New Roman" w:eastAsia="Times New Roman" w:hAnsi="Times New Roman"/>
                      <w:sz w:val="20"/>
                      <w:szCs w:val="20"/>
                    </w:rPr>
                    <w:t xml:space="preserve"> production, but also the substitution of nitrogen with a softer element does too.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2367410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Characterization and Activity of Graphene Oxide (GO) Modified Bismuth Niobium Oxide (BNO)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Emaan Mahmood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mahmen14@wfu.edu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Emaan N. Mahmood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Shiba P. Adhikari</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Wake Forest </w:t>
                  </w:r>
                  <w:proofErr w:type="gramStart"/>
                  <w:r w:rsidRPr="001F5B5C">
                    <w:rPr>
                      <w:rFonts w:ascii="Times New Roman" w:eastAsia="Times New Roman" w:hAnsi="Times New Roman"/>
                      <w:sz w:val="20"/>
                      <w:szCs w:val="20"/>
                    </w:rPr>
                    <w:t>University ,</w:t>
                  </w:r>
                  <w:proofErr w:type="gramEnd"/>
                  <w:r w:rsidRPr="001F5B5C">
                    <w:rPr>
                      <w:rFonts w:ascii="Times New Roman" w:eastAsia="Times New Roman" w:hAnsi="Times New Roman"/>
                      <w:sz w:val="20"/>
                      <w:szCs w:val="20"/>
                    </w:rPr>
                    <w:t xml:space="preserve"> Winston Salem, NC, United States. </w:t>
                  </w:r>
                  <w:r w:rsidRPr="001F5B5C">
                    <w:rPr>
                      <w:rFonts w:ascii="Times New Roman" w:eastAsia="Times New Roman" w:hAnsi="Times New Roman"/>
                      <w:sz w:val="20"/>
                      <w:szCs w:val="20"/>
                    </w:rPr>
                    <w:br/>
                    <w:t xml:space="preserve">2. Chemistry, Wake Forest University, Winston Salem,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Due to increasing global energy demand and environmental issues, a clean and sustainable energy source is required. Because of their potential for solving current energy and environmental problems, semiconductor based photocatalysis has received tremendous attention in the last few decades. A significant number of studies have been reported recently on the development of new photocatalytic materials, modification of existing materials to enhance the light harvesting, and increase the number of active sites in order to buttress the photocatalytic activity. At the same time, high recombination of photo excited charge carriers and limited efficiency under visible light are the two limiting factors in the development of efficient semiconductor-based photocatalysts. The composite formation by using two or more semiconductor catalysts is the promising approach to achieve enhanced visible light induced photocatalysis by reducing the photogenerated electron hole pair recombination. The project includes synthesis, complete structural, chemical and physical characterization, and investigation of the catalytic performance of a composite made of Graphene Oxide (GO) and Bismuth Niobium Oxide-BNO (Bi3NbO7).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2367459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Characterization, and Catalytic Oxidation Studies of First-Row Copper and Cobalt Complexes Supported by Redox-Active Ligands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Sophie Cemaj</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scemaj@emory.edu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Sophie Cemaj</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Emory,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ability to selectively oxidize organic substrates represents a major goal of current chemical research, from transforming petrochemical feedstock into industrially utile chemicals to functionalizing molecules for pharmaceutical pursuits. Although great strides have been made in this field with the use of second and third-row transition metal catalysts, these metals are environmentally scarce and economically costly. In biology, metalloenzymes with active sites incorporating first-row transition metals, such as galactose oxidase often catalyze selective oxidation reactions using environmentally abundant dioxygen as a terminal oxidant. Inspired by model enzyme systems and green chemistry, this project reports on the preparation and characterization of cobalt and copper complexes supported by redox-active ligands. The project further explores the reactivity profiles of the complexes with dioxygen and a variety of organic substrates. Through the success of this project, the selective oxidation of organic substrates could be greatly reduced in price while becoming an environmentally friendly alternative to previous reactions.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2367539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Cu</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(Zn</w:t>
                  </w:r>
                  <w:r w:rsidRPr="001F5B5C">
                    <w:rPr>
                      <w:rFonts w:ascii="Times New Roman" w:eastAsia="Times New Roman" w:hAnsi="Times New Roman"/>
                      <w:sz w:val="20"/>
                      <w:szCs w:val="20"/>
                      <w:vertAlign w:val="subscript"/>
                    </w:rPr>
                    <w:t>1-x</w:t>
                  </w:r>
                  <w:r w:rsidRPr="001F5B5C">
                    <w:rPr>
                      <w:rFonts w:ascii="Times New Roman" w:eastAsia="Times New Roman" w:hAnsi="Times New Roman"/>
                      <w:sz w:val="20"/>
                      <w:szCs w:val="20"/>
                    </w:rPr>
                    <w:t>Co</w:t>
                  </w:r>
                  <w:r w:rsidRPr="001F5B5C">
                    <w:rPr>
                      <w:rFonts w:ascii="Times New Roman" w:eastAsia="Times New Roman" w:hAnsi="Times New Roman"/>
                      <w:sz w:val="20"/>
                      <w:szCs w:val="20"/>
                      <w:vertAlign w:val="subscript"/>
                    </w:rPr>
                    <w:t>x</w:t>
                  </w:r>
                  <w:r w:rsidRPr="001F5B5C">
                    <w:rPr>
                      <w:rFonts w:ascii="Times New Roman" w:eastAsia="Times New Roman" w:hAnsi="Times New Roman"/>
                      <w:sz w:val="20"/>
                      <w:szCs w:val="20"/>
                    </w:rPr>
                    <w:t>)SnS</w:t>
                  </w:r>
                  <w:r w:rsidRPr="001F5B5C">
                    <w:rPr>
                      <w:rFonts w:ascii="Times New Roman" w:eastAsia="Times New Roman" w:hAnsi="Times New Roman"/>
                      <w:sz w:val="20"/>
                      <w:szCs w:val="20"/>
                      <w:vertAlign w:val="subscript"/>
                    </w:rPr>
                    <w:t xml:space="preserve">4 </w:t>
                  </w:r>
                  <w:r w:rsidRPr="001F5B5C">
                    <w:rPr>
                      <w:rFonts w:ascii="Times New Roman" w:eastAsia="Times New Roman" w:hAnsi="Times New Roman"/>
                      <w:sz w:val="20"/>
                      <w:szCs w:val="20"/>
                    </w:rPr>
                    <w:t>solid solutions and kinetics of methylene blue adsorption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Aastha Sharma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axsharma@wesleyancollege.edu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Aastha Sharma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Alexandre H. Pinto</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R Lee Penn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Wesleyan College, Macon, GA, United States. </w:t>
                  </w:r>
                  <w:r w:rsidRPr="001F5B5C">
                    <w:rPr>
                      <w:rFonts w:ascii="Times New Roman" w:eastAsia="Times New Roman" w:hAnsi="Times New Roman"/>
                      <w:sz w:val="20"/>
                      <w:szCs w:val="20"/>
                    </w:rPr>
                    <w:br/>
                    <w:t xml:space="preserve">2. Chemistry, University of Minnesota, Minneapolis, MN, United States. </w:t>
                  </w:r>
                  <w:r w:rsidRPr="001F5B5C">
                    <w:rPr>
                      <w:rFonts w:ascii="Times New Roman" w:eastAsia="Times New Roman" w:hAnsi="Times New Roman"/>
                      <w:sz w:val="20"/>
                      <w:szCs w:val="20"/>
                    </w:rPr>
                    <w:br/>
                    <w:t xml:space="preserve">3. Chemistry, University of Minnesota, Minneapolis, MN,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recent years, transition metal sulfides (e.g. Cu</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ZnSnS</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 Cu</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ZnSnSe</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 prepared from earth-abundant and non-toxic elements have received significant attention as promising materials for thin film solar cells. However, other environmental applications of these materials have not been studied widely. This work quantifies the kinetics of adsorption of methylene blue dye, a toxic industrial waste, onto Cu</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ZnSnS</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-Cu</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CoSnS</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 xml:space="preserve"> solid solutions.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Zn</w:t>
                  </w:r>
                  <w:r w:rsidRPr="001F5B5C">
                    <w:rPr>
                      <w:rFonts w:ascii="Times New Roman" w:eastAsia="Times New Roman" w:hAnsi="Times New Roman"/>
                      <w:sz w:val="20"/>
                      <w:szCs w:val="20"/>
                      <w:vertAlign w:val="subscript"/>
                    </w:rPr>
                    <w:t>1</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x</w:t>
                  </w:r>
                  <w:r w:rsidRPr="001F5B5C">
                    <w:rPr>
                      <w:rFonts w:ascii="Times New Roman" w:eastAsia="Times New Roman" w:hAnsi="Times New Roman"/>
                      <w:sz w:val="20"/>
                      <w:szCs w:val="20"/>
                    </w:rPr>
                    <w:t>Co</w:t>
                  </w:r>
                  <w:r w:rsidRPr="001F5B5C">
                    <w:rPr>
                      <w:rFonts w:ascii="Times New Roman" w:eastAsia="Times New Roman" w:hAnsi="Times New Roman"/>
                      <w:sz w:val="20"/>
                      <w:szCs w:val="20"/>
                      <w:vertAlign w:val="subscript"/>
                    </w:rPr>
                    <w:t>x</w:t>
                  </w:r>
                  <w:r w:rsidRPr="001F5B5C">
                    <w:rPr>
                      <w:rFonts w:ascii="Times New Roman" w:eastAsia="Times New Roman" w:hAnsi="Times New Roman"/>
                      <w:sz w:val="20"/>
                      <w:szCs w:val="20"/>
                    </w:rPr>
                    <w:t>)SnS</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 with rationally controlled composition were successfully synthesized in pure wurtzite phase using microwave reaction starting from metal salts in ethylene glycol, and thiourea as sulfur source. X-Ray Diffraction (XRD), Raman Spectroscopy, BET N</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isotherms and Transmission Electron Microscopy were employed to understand how changes in Zn:Co ratio influenced particle size, phase purity, vibrational modes, surface area and morphology of the synthesized materials. Different kinetic models were fitted to study the decolorization process.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2367549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Isoquinoline Derived Pentadentate Ligands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Christian Lyons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mr.lyons94@gmail.com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Christian Lyons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Ramana Mattapalli</w:t>
                  </w:r>
                  <w:r w:rsidRPr="001F5B5C">
                    <w:rPr>
                      <w:rFonts w:ascii="Times New Roman" w:eastAsia="Times New Roman" w:hAnsi="Times New Roman"/>
                      <w:sz w:val="20"/>
                      <w:szCs w:val="20"/>
                      <w:vertAlign w:val="superscript"/>
                    </w:rPr>
                    <w:t>5</w:t>
                  </w:r>
                  <w:r w:rsidRPr="001F5B5C">
                    <w:rPr>
                      <w:rFonts w:ascii="Times New Roman" w:eastAsia="Times New Roman" w:hAnsi="Times New Roman"/>
                      <w:sz w:val="20"/>
                      <w:szCs w:val="20"/>
                    </w:rPr>
                    <w:t>, Kandria Driskill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Kristin Knight</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Xuan Zhao</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Arkansas State University, Little Rock, AR, United States. </w:t>
                  </w:r>
                  <w:r w:rsidRPr="001F5B5C">
                    <w:rPr>
                      <w:rFonts w:ascii="Times New Roman" w:eastAsia="Times New Roman" w:hAnsi="Times New Roman"/>
                      <w:sz w:val="20"/>
                      <w:szCs w:val="20"/>
                    </w:rPr>
                    <w:br/>
                    <w:t xml:space="preserve">2. Benjamin Rose Institute on Aging, Germantown, TN, United States. </w:t>
                  </w:r>
                  <w:r w:rsidRPr="001F5B5C">
                    <w:rPr>
                      <w:rFonts w:ascii="Times New Roman" w:eastAsia="Times New Roman" w:hAnsi="Times New Roman"/>
                      <w:sz w:val="20"/>
                      <w:szCs w:val="20"/>
                    </w:rPr>
                    <w:br/>
                    <w:t xml:space="preserve">3. Christian Brothers University, Memphis, TN, United States. </w:t>
                  </w:r>
                  <w:r w:rsidRPr="001F5B5C">
                    <w:rPr>
                      <w:rFonts w:ascii="Times New Roman" w:eastAsia="Times New Roman" w:hAnsi="Times New Roman"/>
                      <w:sz w:val="20"/>
                      <w:szCs w:val="20"/>
                    </w:rPr>
                    <w:br/>
                    <w:t xml:space="preserve">4. University of Tennessee at Chattanooga, Collierville, TN, United States. </w:t>
                  </w:r>
                  <w:r w:rsidRPr="001F5B5C">
                    <w:rPr>
                      <w:rFonts w:ascii="Times New Roman" w:eastAsia="Times New Roman" w:hAnsi="Times New Roman"/>
                      <w:sz w:val="20"/>
                      <w:szCs w:val="20"/>
                    </w:rPr>
                    <w:br/>
                    <w:t xml:space="preserve">5. Chemistry, University of Memphis,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br/>
                    <w:t>To modify the redox potentials of Co complexes, we replaced pyridyl groups in N</w:t>
                  </w:r>
                  <w:proofErr w:type="gramStart"/>
                  <w:r w:rsidRPr="001F5B5C">
                    <w:rPr>
                      <w:rFonts w:ascii="Times New Roman" w:eastAsia="Times New Roman" w:hAnsi="Times New Roman"/>
                      <w:sz w:val="20"/>
                      <w:szCs w:val="20"/>
                    </w:rPr>
                    <w:t>,N</w:t>
                  </w:r>
                  <w:proofErr w:type="gramEnd"/>
                  <w:r w:rsidRPr="001F5B5C">
                    <w:rPr>
                      <w:rFonts w:ascii="Times New Roman" w:eastAsia="Times New Roman" w:hAnsi="Times New Roman"/>
                      <w:sz w:val="20"/>
                      <w:szCs w:val="20"/>
                    </w:rPr>
                    <w:t>-bis(2-pyridinylmethyl)-2,2’-bipyridine-6-methanamine (DPA-Bpy) with isoquinoline derivatives. This study validates the methods applicable in synthesizing these compounds with moderate yields.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6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2367551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br/>
                    <w:t>Photocatalytic TiO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coatings for reduction of ammonia and methane livestock emission concentration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Kendall Oziminski | Dinah Batchelor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kentozim@ut.utm.edu | dincbatc@ut.utm.edu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Kendall Oziminski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Dinah Batchelor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Joseph Zitnyar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Abigail H. Shelton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Physics, University of TN at Martin, Martin,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TiO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colloidal suspensions are applied as an air-purifier onto a range of natural materials. Loading concentrations, application methods, and adhesive properties are examined to investigating the abilities of the TiO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coatings to reduce the concentration of ammonia and methane gas emission.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2367685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Toward the Synthesis of Small Silver Clusters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Andrew Royappa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aroyappa3@gatech.edu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Andrew D. Royappa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Brandon Tate</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Joseph P. Sadighi</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Georgia Institute of Technology, Atlanta, GA, United States. </w:t>
                  </w:r>
                  <w:r w:rsidRPr="001F5B5C">
                    <w:rPr>
                      <w:rFonts w:ascii="Times New Roman" w:eastAsia="Times New Roman" w:hAnsi="Times New Roman"/>
                      <w:sz w:val="20"/>
                      <w:szCs w:val="20"/>
                    </w:rPr>
                    <w:br/>
                    <w:t xml:space="preserve">2. Chemistry Biochemistry, Georgia Institute of Technology, Atlanta, GA, United States. </w:t>
                  </w:r>
                  <w:r w:rsidRPr="001F5B5C">
                    <w:rPr>
                      <w:rFonts w:ascii="Times New Roman" w:eastAsia="Times New Roman" w:hAnsi="Times New Roman"/>
                      <w:sz w:val="20"/>
                      <w:szCs w:val="20"/>
                    </w:rPr>
                    <w:br/>
                    <w:t xml:space="preserve">3. School of Chemistry and Biochemistry, Georgia Institute of Technology,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Small silver clusters are a useful platform for studying interesting organosilver catalyzed reactions. Efforts to synthesize the (Ag)</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cation (known in the gas phase but not in molecular form) have centered around two approaches: reduction of a silver carbonate (in analogy to a known synthesis of cationic gold clusters) or removal of the capping ligand from an oxo- or sulfide- multiply bridged complex. While the synthesis of the carbonate has been straightforward, reduction to a cationic metal complex has proven challenging, as have the syntheses of bridging complexes. Current directions focus on a route to the bridging sulfide complex via the carbonate. Preliminary data suggests that the bridging gold sulfde complex is easily accessible, and future directions with silver clusters will follow accordingly.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2367736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of New Iminophosphorane-based Catalysts for the Ring-opening Polymerization of Renewable Lactones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Evan Rees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 xml:space="preserve">E_REES@uncg.edu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Evan Rees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Antoine Buchard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Anne G. Glenn</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 of North Carolina, Greensboro, NC, United States. </w:t>
                  </w:r>
                  <w:r w:rsidRPr="001F5B5C">
                    <w:rPr>
                      <w:rFonts w:ascii="Times New Roman" w:eastAsia="Times New Roman" w:hAnsi="Times New Roman"/>
                      <w:sz w:val="20"/>
                      <w:szCs w:val="20"/>
                    </w:rPr>
                    <w:br/>
                    <w:t xml:space="preserve">2. Center for Sustainable Technologies, University of Bath, Bath, United Kingdom. </w:t>
                  </w:r>
                  <w:r w:rsidRPr="001F5B5C">
                    <w:rPr>
                      <w:rFonts w:ascii="Times New Roman" w:eastAsia="Times New Roman" w:hAnsi="Times New Roman"/>
                      <w:sz w:val="20"/>
                      <w:szCs w:val="20"/>
                    </w:rPr>
                    <w:br/>
                    <w:t xml:space="preserve">3. Chemistry, Guilford College, Greensboro,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Polylactic acid is one of the highest consumed biodegradable bioplastics in the world. One of the most common industrial routes to usable bioplastic is by ring-opening polymerization of lactide using a metal catalyst, like tin octoate. We describe our attempts to form polylactic acid by the construction of titanium and zirconium catalysts for polymerization using phosphosalen ligands as support.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2367784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Effect of particle size on the magnetic induction heating efficiency for magnetite nanoparticles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Abigail Paulson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alpaulson@crimson.ua.edu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Abigail L. Paulson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Rhythm R. Shah</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Todd Davis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Christopher S. Brazel</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David E. Nikles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Univ of Alabama, Tuscaloosa, AL, United States. </w:t>
                  </w:r>
                  <w:r w:rsidRPr="001F5B5C">
                    <w:rPr>
                      <w:rFonts w:ascii="Times New Roman" w:eastAsia="Times New Roman" w:hAnsi="Times New Roman"/>
                      <w:sz w:val="20"/>
                      <w:szCs w:val="20"/>
                    </w:rPr>
                    <w:br/>
                    <w:t xml:space="preserve">2. Department of Chemistry, The University of Alabama, Tuscaloosa, AL, United States. </w:t>
                  </w:r>
                  <w:r w:rsidRPr="001F5B5C">
                    <w:rPr>
                      <w:rFonts w:ascii="Times New Roman" w:eastAsia="Times New Roman" w:hAnsi="Times New Roman"/>
                      <w:sz w:val="20"/>
                      <w:szCs w:val="20"/>
                    </w:rPr>
                    <w:br/>
                    <w:t xml:space="preserve">3. Department of Chemical &amp; Biological Engineering, The University of Alabama, Tuscaloosa, AL, United States. </w:t>
                  </w:r>
                  <w:r w:rsidRPr="001F5B5C">
                    <w:rPr>
                      <w:rFonts w:ascii="Times New Roman" w:eastAsia="Times New Roman" w:hAnsi="Times New Roman"/>
                      <w:sz w:val="20"/>
                      <w:szCs w:val="20"/>
                    </w:rPr>
                    <w:br/>
                    <w:t xml:space="preserve">4. Department of Chemical &amp; Biological Engineering, The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Single crystal magnetite nanoparticles were prepared either by the thermal decomposition of </w:t>
                  </w:r>
                  <w:proofErr w:type="gramStart"/>
                  <w:r w:rsidRPr="001F5B5C">
                    <w:rPr>
                      <w:rFonts w:ascii="Times New Roman" w:eastAsia="Times New Roman" w:hAnsi="Times New Roman"/>
                      <w:sz w:val="20"/>
                      <w:szCs w:val="20"/>
                    </w:rPr>
                    <w:t>iron(</w:t>
                  </w:r>
                  <w:proofErr w:type="gramEnd"/>
                  <w:r w:rsidRPr="001F5B5C">
                    <w:rPr>
                      <w:rFonts w:ascii="Times New Roman" w:eastAsia="Times New Roman" w:hAnsi="Times New Roman"/>
                      <w:sz w:val="20"/>
                      <w:szCs w:val="20"/>
                    </w:rPr>
                    <w:t xml:space="preserve">III) acetylacetonate or iron(III) oleate in high boiling solvents in the presence of capping ligands. X-ray diffraction and high resolution X-ray photoelectron spectra confirmed the particles were magnetite. Measuring the temperature rise during magnetic induction heating of dispersions containing the particles gave values of the specific absorption ratio (SAR). The values of SAR depended on the frequency and the amplitude of the applied radio frequency magnetic field. For constant values of frequency (194 kHz) and amplitude </w:t>
                  </w:r>
                  <w:proofErr w:type="gramStart"/>
                  <w:r w:rsidRPr="001F5B5C">
                    <w:rPr>
                      <w:rFonts w:ascii="Times New Roman" w:eastAsia="Times New Roman" w:hAnsi="Times New Roman"/>
                      <w:sz w:val="20"/>
                      <w:szCs w:val="20"/>
                    </w:rPr>
                    <w:t>(47.7 kA/m)</w:t>
                  </w:r>
                  <w:proofErr w:type="gramEnd"/>
                  <w:r w:rsidRPr="001F5B5C">
                    <w:rPr>
                      <w:rFonts w:ascii="Times New Roman" w:eastAsia="Times New Roman" w:hAnsi="Times New Roman"/>
                      <w:sz w:val="20"/>
                      <w:szCs w:val="20"/>
                    </w:rPr>
                    <w:t xml:space="preserve"> the values of SAR increased from 22 to 55 W/g as the particle diameter increase from 8 to 18 nm.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2367942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Initial investigation on structural mimicking of the photosynthetic catalysts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Berkley Long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bl02058@georgiasouthern.edu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Arpita Saha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Berkley K. Long</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Georgia Southern University, Statesboro,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relevance of Mn carboxylate clusters as an active site mimic for various metalloproteins and enzymes is profound. For example synthetic chemists are trying to mimic the active site of the oxygen-evolving complex (OEC) of photosystem II, available in green plants and cyanobacteria for decades. The OEC in photosystem II is known to catalyze the light-driven oxidation of water to dioxygen. The structure of the OEC has not been completely comprehended; however, the assumption is that it comprises of a high-valent, cubane subunit, Mn</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Ca complex surrounded by a network of H-bonds, responsible for the multi-electron transfer process. In this regard inorganic Mn/Ca complexes can act as synthetic models of the OEC as they can help to understand the magnetic and spectroscopic properties of the native site and the mechanism of its function for water oxidation. Nature has been efficiently carrying out the conversion of water to dioxygen for approximately 2.7 billion years. Hence, one of the many practical applications of mimicking this photosynthetic catalyst would be a more efficient and cost reduced way to produce molecular oxygen. A potential side benefit of this would also be a possible fuel source since 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gas would be a byproduct of the oxidation of water. Herein, the strategic synthesis of combining various manganese and calcium carboxylates with a multi-dentate, aromatic, ligand precursor has been explored for the first time in the field of bioinorganic chemistry. The ligand in use is Vitamin-B6 (Pyridoxine), an essential vitamin which displays several coordination modes with different charges and hard/soft behavior. The initial reactivity of the potentially tetradentate, alcohol based chelate (N</w:t>
                  </w:r>
                  <w:proofErr w:type="gramStart"/>
                  <w:r w:rsidRPr="001F5B5C">
                    <w:rPr>
                      <w:rFonts w:ascii="Times New Roman" w:eastAsia="Times New Roman" w:hAnsi="Times New Roman"/>
                      <w:sz w:val="20"/>
                      <w:szCs w:val="20"/>
                    </w:rPr>
                    <w:t>,O,O,O</w:t>
                  </w:r>
                  <w:proofErr w:type="gramEnd"/>
                  <w:r w:rsidRPr="001F5B5C">
                    <w:rPr>
                      <w:rFonts w:ascii="Times New Roman" w:eastAsia="Times New Roman" w:hAnsi="Times New Roman"/>
                      <w:sz w:val="20"/>
                      <w:szCs w:val="20"/>
                    </w:rPr>
                    <w:t xml:space="preserve">), 2-methyl-3-hydroxy-4,5-bis(hydroxymethyl)pyridine, commonly known as pyridoxine as an essential ingredient of vitaminB6 has been investigated in Mn/Ca carboxylate chemistry. The synthesis, elemental composition, spectroscopic characterizations like IR, UV-Vis, </w:t>
                  </w:r>
                  <w:proofErr w:type="gramStart"/>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w:t>
                  </w:r>
                  <w:proofErr w:type="gramEnd"/>
                  <w:r w:rsidRPr="001F5B5C">
                    <w:rPr>
                      <w:rFonts w:ascii="Times New Roman" w:eastAsia="Times New Roman" w:hAnsi="Times New Roman"/>
                      <w:sz w:val="20"/>
                      <w:szCs w:val="20"/>
                    </w:rPr>
                    <w:t xml:space="preserve"> NMR studies are currently being performed for the manganese-calcium-pyridoxine complex.</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2368051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Spectroscopic investigation of amyloid beta(1-28) in the absence and presence of Cu(II): Comparing and contrasting human, R5G, H13R, and rat peptides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Ariel Pinkham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ariel.pinkham@yahoo.com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Ariel Pinkham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Sarah Sipe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John Kenney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Anne M. Spuches</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East Carolina University, Washington, NC, United States. </w:t>
                  </w:r>
                  <w:r w:rsidRPr="001F5B5C">
                    <w:rPr>
                      <w:rFonts w:ascii="Times New Roman" w:eastAsia="Times New Roman" w:hAnsi="Times New Roman"/>
                      <w:sz w:val="20"/>
                      <w:szCs w:val="20"/>
                    </w:rPr>
                    <w:br/>
                    <w:t xml:space="preserve">2. East Carolina University, Greenville, NC, United States. </w:t>
                  </w:r>
                  <w:r w:rsidRPr="001F5B5C">
                    <w:rPr>
                      <w:rFonts w:ascii="Times New Roman" w:eastAsia="Times New Roman" w:hAnsi="Times New Roman"/>
                      <w:sz w:val="20"/>
                      <w:szCs w:val="20"/>
                    </w:rPr>
                    <w:br/>
                    <w:t xml:space="preserve">3. Department of Chemistry, East Carolina University, Greenville,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Alzheimer’s disease (AD) is a neurodegenerative disease which causes decreased cognitive function and memory loss. It is the sixth leading cause of death in the United States, affecting 35 million people around the world. Hallmarks of AD in the human brain includes neurofibrillary tangles, which are caused by hyper-phosphorylation of the tau protein, and amyloid plaques, which are caused by aggregation of the amyloid beta (Aβ) peptide at their hydrophobic residues. Aβ peptides found in rats do not aggregate at an appreciable rate. Rat Aβ differs from the human peptide by only three amino acid substitutions (R5G, Y10F, and H13R). Metal ions have been shown to effect peptide aggregation and both human and rat Aβ peptides form complexes with ions such as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II).</w:t>
                  </w:r>
                  <w:r w:rsidRPr="001F5B5C">
                    <w:rPr>
                      <w:rFonts w:ascii="Times New Roman" w:eastAsia="Times New Roman" w:hAnsi="Times New Roman"/>
                      <w:sz w:val="20"/>
                      <w:szCs w:val="20"/>
                    </w:rPr>
                    <w:br/>
                    <w:t xml:space="preserve">Previous studies from the Spuches lab utilizing truncated peptides indicate that the rat </w:t>
                  </w:r>
                  <w:proofErr w:type="gramStart"/>
                  <w:r w:rsidRPr="001F5B5C">
                    <w:rPr>
                      <w:rFonts w:ascii="Times New Roman" w:eastAsia="Times New Roman" w:hAnsi="Times New Roman"/>
                      <w:sz w:val="20"/>
                      <w:szCs w:val="20"/>
                    </w:rPr>
                    <w:t>Aβ(</w:t>
                  </w:r>
                  <w:proofErr w:type="gramEnd"/>
                  <w:r w:rsidRPr="001F5B5C">
                    <w:rPr>
                      <w:rFonts w:ascii="Times New Roman" w:eastAsia="Times New Roman" w:hAnsi="Times New Roman"/>
                      <w:sz w:val="20"/>
                      <w:szCs w:val="20"/>
                    </w:rPr>
                    <w:t xml:space="preserve">1-28) peptide may form more structured complexes with buried hydrophobic residues upon Cu(II) complexation than the human Aβ(1-28). Furthermore, our studies and results from other groups indicate the R5G and H13R substitutions in the human peptide play important roles in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 xml:space="preserve">II) binding and complex formation. The goal of this study was to test this hypothesis by obtaining structural information on the free and Cu(II) bound forms of the human(1-28), rat(1-28), R5G mutant, and H13R mutant peptides by circular dichroism (CD) and fluorescence spectroscopy. Interesting results obtained shed light on the effect </w:t>
                  </w:r>
                  <w:proofErr w:type="gramStart"/>
                  <w:r w:rsidRPr="001F5B5C">
                    <w:rPr>
                      <w:rFonts w:ascii="Times New Roman" w:eastAsia="Times New Roman" w:hAnsi="Times New Roman"/>
                      <w:sz w:val="20"/>
                      <w:szCs w:val="20"/>
                    </w:rPr>
                    <w:t>Cu(</w:t>
                  </w:r>
                  <w:proofErr w:type="gramEnd"/>
                  <w:r w:rsidRPr="001F5B5C">
                    <w:rPr>
                      <w:rFonts w:ascii="Times New Roman" w:eastAsia="Times New Roman" w:hAnsi="Times New Roman"/>
                      <w:sz w:val="20"/>
                      <w:szCs w:val="20"/>
                    </w:rPr>
                    <w:t>II) binding has on the overall structure of these peptides and what role it may play in subsequent aggregation pathways.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Sacco C, Skowronsky RA, Gade S, Kenney AM, Spuches AM</w:t>
                  </w:r>
                  <w:r w:rsidRPr="001F5B5C">
                    <w:rPr>
                      <w:rFonts w:ascii="Times New Roman" w:eastAsia="Times New Roman" w:hAnsi="Times New Roman"/>
                      <w:sz w:val="20"/>
                      <w:szCs w:val="20"/>
                    </w:rPr>
                    <w:br/>
                    <w:t>(2012) J Biol Inorg Chem 17:531–541</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Hong L, Simon JD (2011) Metallomics 3:262–266</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Eury H, Bijani C, Faller P, Hureau C (2011) Angew Chem Int Ed</w:t>
                  </w:r>
                  <w:r w:rsidRPr="001F5B5C">
                    <w:rPr>
                      <w:rFonts w:ascii="Times New Roman" w:eastAsia="Times New Roman" w:hAnsi="Times New Roman"/>
                      <w:sz w:val="20"/>
                      <w:szCs w:val="20"/>
                    </w:rPr>
                    <w:br/>
                    <w:t>50:901–905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Solid-state anticancer drug synthesis using Merrifield resin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Anne-lise Emig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anne-lise.emig12@ncf.edu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Anne-lise Emig</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Stephen Flower</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Anne G. Glenn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Guilford Colg, Greensboro, NC, United States. </w:t>
                  </w:r>
                  <w:r w:rsidRPr="001F5B5C">
                    <w:rPr>
                      <w:rFonts w:ascii="Times New Roman" w:eastAsia="Times New Roman" w:hAnsi="Times New Roman"/>
                      <w:sz w:val="20"/>
                      <w:szCs w:val="20"/>
                    </w:rPr>
                    <w:br/>
                    <w:t xml:space="preserve">2. Univ of North Carolina, Greensboro, NC, United States. </w:t>
                  </w:r>
                  <w:r w:rsidRPr="001F5B5C">
                    <w:rPr>
                      <w:rFonts w:ascii="Times New Roman" w:eastAsia="Times New Roman" w:hAnsi="Times New Roman"/>
                      <w:sz w:val="20"/>
                      <w:szCs w:val="20"/>
                    </w:rPr>
                    <w:br/>
                    <w:t xml:space="preserve">3. Department of Natural Sciences, New College of Florida, Sarasota, FL, United States. </w:t>
                  </w:r>
                  <w:r w:rsidRPr="001F5B5C">
                    <w:rPr>
                      <w:rFonts w:ascii="Times New Roman" w:eastAsia="Times New Roman" w:hAnsi="Times New Roman"/>
                      <w:sz w:val="20"/>
                      <w:szCs w:val="20"/>
                    </w:rPr>
                    <w:br/>
                    <w:t xml:space="preserve">4. School of Chemistry, University of Bath, Bath, United Kingdom.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Bortezomib is a proteasome inhibitor consisting of a modified peptide with the C-terminus replaced by a boronic acid. Bortezomib has been used as an anticancer drug because the inhibition of proteasomes leads to cell death, but current methods for producing it is time and labor intensive. We describe work towards simplifying the synthesis of bortezomib using a solid-state Merrifield resin.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2368326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Developing iron triazene and formamidine catalysts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Amber Kozak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a_kozak@uncg.edu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Amber N. Kozak</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Ruth L. Webster</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Anne G. Glenn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Guilford Colg, Greensboro, NC, United States. </w:t>
                  </w:r>
                  <w:r w:rsidRPr="001F5B5C">
                    <w:rPr>
                      <w:rFonts w:ascii="Times New Roman" w:eastAsia="Times New Roman" w:hAnsi="Times New Roman"/>
                      <w:sz w:val="20"/>
                      <w:szCs w:val="20"/>
                    </w:rPr>
                    <w:br/>
                    <w:t xml:space="preserve">2. Univ of North Carolina, Greensboro, NC, United States. </w:t>
                  </w:r>
                  <w:r w:rsidRPr="001F5B5C">
                    <w:rPr>
                      <w:rFonts w:ascii="Times New Roman" w:eastAsia="Times New Roman" w:hAnsi="Times New Roman"/>
                      <w:sz w:val="20"/>
                      <w:szCs w:val="20"/>
                    </w:rPr>
                    <w:br/>
                    <w:t xml:space="preserve">3. University of North Carolina at Greensboro, Elizabeth City, NC, United States. </w:t>
                  </w:r>
                  <w:r w:rsidRPr="001F5B5C">
                    <w:rPr>
                      <w:rFonts w:ascii="Times New Roman" w:eastAsia="Times New Roman" w:hAnsi="Times New Roman"/>
                      <w:sz w:val="20"/>
                      <w:szCs w:val="20"/>
                    </w:rPr>
                    <w:br/>
                    <w:t xml:space="preserve">4. School of Chemistry, University of Bath, Bath, United Kingdom.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Bulky chiral amines were used to synthesize triazenes and formamidines. These novel ligands were used with iron precursors to form iron complexes. The iron formamidine complexes were investigated for use as catalysts in hydrophosphination reactions.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2368417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New Catalysts for Ethanol Conversion to Biofuels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Tory Strider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tlstride@uncg.edu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Tory L. Strider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Katy Pellow</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Duncan Wass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Anne Glenn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 of North Carolina, Greensboro, NC, United States. </w:t>
                  </w:r>
                  <w:r w:rsidRPr="001F5B5C">
                    <w:rPr>
                      <w:rFonts w:ascii="Times New Roman" w:eastAsia="Times New Roman" w:hAnsi="Times New Roman"/>
                      <w:sz w:val="20"/>
                      <w:szCs w:val="20"/>
                    </w:rPr>
                    <w:br/>
                    <w:t xml:space="preserve">2. School of Chemistry, University of Bristol, Bristol, United Kingdom. </w:t>
                  </w:r>
                  <w:r w:rsidRPr="001F5B5C">
                    <w:rPr>
                      <w:rFonts w:ascii="Times New Roman" w:eastAsia="Times New Roman" w:hAnsi="Times New Roman"/>
                      <w:sz w:val="20"/>
                      <w:szCs w:val="20"/>
                    </w:rPr>
                    <w:br/>
                    <w:t xml:space="preserve">3. Department of Chemistry, Guilford College, Greensboro,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Ruthenium complexes have been used to undergo Guerbet Reactions to form a higher energy biofuel, iso-butanol, from methanol and ethanol. Due to ruthenium’s rarity and price, it is an unsustainable option, so we decided to test iron as catalyst to biofuels. We describe our attempts at catalyzing these reactions with inexpensive iron complexes and comparing our results to similar ruthenium catalysts.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2368422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A stimuli-responsive, site-specific nano-drug delivery ideal for oral administration</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ASYA OZKIZILCIK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aozkizil@uark.edu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ASYA OZKIZILCIK</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Suzanne Murphy</w:t>
                  </w:r>
                  <w:r w:rsidRPr="001F5B5C">
                    <w:rPr>
                      <w:rFonts w:ascii="Times New Roman" w:eastAsia="Times New Roman" w:hAnsi="Times New Roman"/>
                      <w:sz w:val="20"/>
                      <w:szCs w:val="20"/>
                      <w:vertAlign w:val="superscript"/>
                    </w:rPr>
                    <w:t>5</w:t>
                  </w:r>
                  <w:r w:rsidRPr="001F5B5C">
                    <w:rPr>
                      <w:rFonts w:ascii="Times New Roman" w:eastAsia="Times New Roman" w:hAnsi="Times New Roman"/>
                      <w:sz w:val="20"/>
                      <w:szCs w:val="20"/>
                    </w:rPr>
                    <w:t>, Z. Ryan Tian</w:t>
                  </w:r>
                  <w:r w:rsidRPr="001F5B5C">
                    <w:rPr>
                      <w:rFonts w:ascii="Times New Roman" w:eastAsia="Times New Roman" w:hAnsi="Times New Roman"/>
                      <w:sz w:val="20"/>
                      <w:szCs w:val="20"/>
                      <w:vertAlign w:val="superscript"/>
                    </w:rPr>
                    <w:t>4, 3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Biomedical Engineering, University of Arkansas, Fayetteville, AR, United States. </w:t>
                  </w:r>
                  <w:r w:rsidRPr="001F5B5C">
                    <w:rPr>
                      <w:rFonts w:ascii="Times New Roman" w:eastAsia="Times New Roman" w:hAnsi="Times New Roman"/>
                      <w:sz w:val="20"/>
                      <w:szCs w:val="20"/>
                    </w:rPr>
                    <w:br/>
                    <w:t xml:space="preserve">2. Institute of Nanoscience and Engineering, University of Arkansas, Fayetteville, AR, United States. </w:t>
                  </w:r>
                  <w:r w:rsidRPr="001F5B5C">
                    <w:rPr>
                      <w:rFonts w:ascii="Times New Roman" w:eastAsia="Times New Roman" w:hAnsi="Times New Roman"/>
                      <w:sz w:val="20"/>
                      <w:szCs w:val="20"/>
                    </w:rPr>
                    <w:br/>
                    <w:t xml:space="preserve">3. Institute of Nanoscience and Engineering/ High Density Electronics Center, University of Arkansas, Fayetteville, AR, United States. </w:t>
                  </w:r>
                  <w:r w:rsidRPr="001F5B5C">
                    <w:rPr>
                      <w:rFonts w:ascii="Times New Roman" w:eastAsia="Times New Roman" w:hAnsi="Times New Roman"/>
                      <w:sz w:val="20"/>
                      <w:szCs w:val="20"/>
                    </w:rPr>
                    <w:br/>
                    <w:t xml:space="preserve">4. Department of Biomedical Engineering/ Department of Chemistry and Biochemistry, University of Arkansas, Fayetteville, AR, United States. </w:t>
                  </w:r>
                  <w:r w:rsidRPr="001F5B5C">
                    <w:rPr>
                      <w:rFonts w:ascii="Times New Roman" w:eastAsia="Times New Roman" w:hAnsi="Times New Roman"/>
                      <w:sz w:val="20"/>
                      <w:szCs w:val="20"/>
                    </w:rPr>
                    <w:br/>
                    <w:t xml:space="preserve">5. Department of Chemistry and Biochemistry, University of Arkansas, Fayetteville,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There is an increasing gap between the ever-growing demand for effective and patient-friendly drug delivery technologies and the longstanding drawbacks of conventional drug-delivery methods. Oral administration of drugs, the most economic and user-friendly method, for instance, has been suffered by (i) drugs’ digestive decomposition in the low-pH environment in stomach and (ii) polymeric microcapsules with drug-inclusion voids disconnected by polymer-matrix. Therefore, increasing hope and in turn grand challenges have been put on the smart engineering of new nano- and micro-structured materials, devices and even systems.</w:t>
                  </w:r>
                  <w:r w:rsidRPr="001F5B5C">
                    <w:rPr>
                      <w:rFonts w:ascii="Times New Roman" w:eastAsia="Times New Roman" w:hAnsi="Times New Roman"/>
                      <w:sz w:val="20"/>
                      <w:szCs w:val="20"/>
                    </w:rPr>
                    <w:br/>
                    <w:t xml:space="preserve">Here we report for the first time a hollow-microcapsule with (i) a tunable void-volume for maximally loading drugs and (ii) a smart wall for time-programmable release of the drugs in response to the external stimuli such as pH-changes. In experiment, the low-cost microcapsule was walled by self-assembled bionanofibers, and then surface-coated by a pH-sensitive biodegradable biopolymer with widely tunable layer-thicknesses and nanopore-closure down to sub-nm scale. In this preliminary work, methylene blue dye was loaded through diffusion as a model drug. For the first time, the in-vitro release profiles reached (i) a ~99% drug loading efficiency and (ii) sustained and programmable releases over a 48-hour time period in simulated body fluid at 37 </w:t>
                  </w:r>
                  <w:r w:rsidRPr="001F5B5C">
                    <w:rPr>
                      <w:rFonts w:ascii="Times New Roman" w:eastAsia="Times New Roman" w:hAnsi="Times New Roman"/>
                      <w:sz w:val="20"/>
                      <w:szCs w:val="20"/>
                      <w:vertAlign w:val="superscript"/>
                    </w:rPr>
                    <w:t>o</w:t>
                  </w:r>
                  <w:r w:rsidRPr="001F5B5C">
                    <w:rPr>
                      <w:rFonts w:ascii="Times New Roman" w:eastAsia="Times New Roman" w:hAnsi="Times New Roman"/>
                      <w:sz w:val="20"/>
                      <w:szCs w:val="20"/>
                    </w:rPr>
                    <w:t>C. This work proves a new scalable and highly translational technology in biomedical engineering and nanomedicine.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7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2368603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Titanium-Mediated Reduction of Imine Substrates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Lucas Freeman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freemanla@g.cofc.edu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Lucas A. Freeman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Travis Varner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Richard Himes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College of Charleston, Pawleys Island, SC, United States. </w:t>
                  </w:r>
                  <w:r w:rsidRPr="001F5B5C">
                    <w:rPr>
                      <w:rFonts w:ascii="Times New Roman" w:eastAsia="Times New Roman" w:hAnsi="Times New Roman"/>
                      <w:sz w:val="20"/>
                      <w:szCs w:val="20"/>
                    </w:rPr>
                    <w:br/>
                    <w:t xml:space="preserve">2. Chemistry and Biochemistry,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Reactions that form new carbon-carbon bonds are central to the synthesis of complex organic molecules. Titanium complexes can initiate certain reactions – such as reductive coupling of deactivated, unsaturated substrates – that would not otherwise occur. Titanium is appealing as a catalyst due to abundance, cost, and non-toxicity. However, </w:t>
                  </w:r>
                  <w:proofErr w:type="gramStart"/>
                  <w:r w:rsidRPr="001F5B5C">
                    <w:rPr>
                      <w:rFonts w:ascii="Times New Roman" w:eastAsia="Times New Roman" w:hAnsi="Times New Roman"/>
                      <w:sz w:val="20"/>
                      <w:szCs w:val="20"/>
                    </w:rPr>
                    <w:t>a limited scope of ligands – almost exclusively isopropoxide and the cyclopentadiene anion – have</w:t>
                  </w:r>
                  <w:proofErr w:type="gramEnd"/>
                  <w:r w:rsidRPr="001F5B5C">
                    <w:rPr>
                      <w:rFonts w:ascii="Times New Roman" w:eastAsia="Times New Roman" w:hAnsi="Times New Roman"/>
                      <w:sz w:val="20"/>
                      <w:szCs w:val="20"/>
                    </w:rPr>
                    <w:t xml:space="preserve"> been investigated with Ti thus far. We have initiated a series of studies on titanium-mediated coupling of imines to form vicinal diamines, which are a common motif in many biologically active molecules. A series of substituted phenoxides (e.g., 2</w:t>
                  </w:r>
                  <w:proofErr w:type="gramStart"/>
                  <w:r w:rsidRPr="001F5B5C">
                    <w:rPr>
                      <w:rFonts w:ascii="Times New Roman" w:eastAsia="Times New Roman" w:hAnsi="Times New Roman"/>
                      <w:sz w:val="20"/>
                      <w:szCs w:val="20"/>
                    </w:rPr>
                    <w:t>,6</w:t>
                  </w:r>
                  <w:proofErr w:type="gramEnd"/>
                  <w:r w:rsidRPr="001F5B5C">
                    <w:rPr>
                      <w:rFonts w:ascii="Times New Roman" w:eastAsia="Times New Roman" w:hAnsi="Times New Roman"/>
                      <w:sz w:val="20"/>
                      <w:szCs w:val="20"/>
                    </w:rPr>
                    <w:t>-dimethylphenoxide, 2,6-diphenylphenoxide, 2,6-di-</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rPr>
                    <w:t>butylphenoxide), cyclopentadienide, and alkoxide groups have been selected as potential ligands to probe the effect of variation of ligand electron donor capabilities on coupling efficiency and product distribution. Additionally, we seek to specifically interrogate the role of ligand sterics on the rates and stereoselectivity of the coupling reaction. A range of imine substituents with varied steric bulk is being investigated to elucidate the entire spectrum of steric interactions between ligand and substrate.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2368706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Towards Multinuclear Spin Crossover Fe(II) Complexes in {N4S2} Coordination Environments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Victoria Stubbs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ves13@my.fsu.edu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Victoria Stubbs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Alina Dragulescu-Andrasi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Michael Shatruk</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Florida State Univ, Tallahassee, FL, United States. </w:t>
                  </w:r>
                  <w:r w:rsidRPr="001F5B5C">
                    <w:rPr>
                      <w:rFonts w:ascii="Times New Roman" w:eastAsia="Times New Roman" w:hAnsi="Times New Roman"/>
                      <w:sz w:val="20"/>
                      <w:szCs w:val="20"/>
                    </w:rPr>
                    <w:br/>
                    <w:t xml:space="preserve">2. Dept of Chemistry Biochemistry, Florida State University, Tallahassee,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number of 3d transition-metal complexes exhibit spin crossover (SCO) between high- and low-spin electronic states, which differ in the orbital distribution of metal</w:t>
                  </w:r>
                  <w:proofErr w:type="gramStart"/>
                  <w:r w:rsidRPr="001F5B5C">
                    <w:rPr>
                      <w:rFonts w:ascii="Times New Roman" w:eastAsia="Times New Roman" w:hAnsi="Times New Roman"/>
                      <w:sz w:val="20"/>
                      <w:szCs w:val="20"/>
                    </w:rPr>
                    <w:t>?s</w:t>
                  </w:r>
                  <w:proofErr w:type="gramEnd"/>
                  <w:r w:rsidRPr="001F5B5C">
                    <w:rPr>
                      <w:rFonts w:ascii="Times New Roman" w:eastAsia="Times New Roman" w:hAnsi="Times New Roman"/>
                      <w:sz w:val="20"/>
                      <w:szCs w:val="20"/>
                    </w:rPr>
                    <w:t xml:space="preserve"> 3d electrons. Most SCO complexes are based on Fe(II) ions in an {N6} coordination, but recently an {N2S2}-donor ligand, S,S'-bis(2-pyridylmethyl)-1,2-thioethane (BPTE), was shown to result in SCO in mononuclear Fe(II) complexes.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In this work, we report the synthesis of a cyanide-bridged multinuclear Fe(II) SCO complexes by connecting the [Fe(BPTE)]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building blocks via [Au(CN)2]</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metalloligands. The neutral complex that was crystallized features a hexanuclear cation composed of two BPTE-capped Fe(II) ions held together by two bridging [Au2(CN)4]</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units. Similar architectures formed with a different capping ligand were shown to exhibit thermally-induced SCO behavior.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1. Lennartson, A.; Bond, A. D.; Piligkos, S.; McKenzie, C. J. </w:t>
                  </w:r>
                  <w:r w:rsidRPr="001F5B5C">
                    <w:rPr>
                      <w:rFonts w:ascii="Times New Roman" w:eastAsia="Times New Roman" w:hAnsi="Times New Roman"/>
                      <w:i/>
                      <w:iCs/>
                      <w:sz w:val="20"/>
                      <w:szCs w:val="20"/>
                    </w:rPr>
                    <w:t>Angew. Chem. Int. Ed.</w:t>
                  </w:r>
                  <w:r w:rsidRPr="001F5B5C">
                    <w:rPr>
                      <w:rFonts w:ascii="Times New Roman" w:eastAsia="Times New Roman" w:hAnsi="Times New Roman"/>
                      <w:b/>
                      <w:bCs/>
                      <w:sz w:val="20"/>
                      <w:szCs w:val="20"/>
                    </w:rPr>
                    <w:t xml:space="preserve"> 2012</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51</w:t>
                  </w:r>
                  <w:r w:rsidRPr="001F5B5C">
                    <w:rPr>
                      <w:rFonts w:ascii="Times New Roman" w:eastAsia="Times New Roman" w:hAnsi="Times New Roman"/>
                      <w:sz w:val="20"/>
                      <w:szCs w:val="20"/>
                    </w:rPr>
                    <w:t>, 11049-11052.</w:t>
                  </w:r>
                  <w:r w:rsidRPr="001F5B5C">
                    <w:rPr>
                      <w:rFonts w:ascii="Times New Roman" w:eastAsia="Times New Roman" w:hAnsi="Times New Roman"/>
                      <w:sz w:val="20"/>
                      <w:szCs w:val="20"/>
                    </w:rPr>
                    <w:br/>
                    <w:t xml:space="preserve">2. Hietsoi, O.; Dunk, P. W.; Stout, H. D.; Arroyave, A.; Kovnir, K.; Irons, R. E.; Kassenova, N.; Erkasov, R.; Achim, C.; Shatruk, M. </w:t>
                  </w:r>
                  <w:r w:rsidRPr="001F5B5C">
                    <w:rPr>
                      <w:rFonts w:ascii="Times New Roman" w:eastAsia="Times New Roman" w:hAnsi="Times New Roman"/>
                      <w:i/>
                      <w:iCs/>
                      <w:sz w:val="20"/>
                      <w:szCs w:val="20"/>
                    </w:rPr>
                    <w:t>Inorg. Chem.</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2014</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53</w:t>
                  </w:r>
                  <w:r w:rsidRPr="001F5B5C">
                    <w:rPr>
                      <w:rFonts w:ascii="Times New Roman" w:eastAsia="Times New Roman" w:hAnsi="Times New Roman"/>
                      <w:sz w:val="20"/>
                      <w:szCs w:val="20"/>
                    </w:rPr>
                    <w:t>, 13070-13077.</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2368793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iron(II) chloride alkyl and aryl Complexes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 Christina Hairston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a_hairs3@uncg.edu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 Christina Hairston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Elorriaga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Robin Bedford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Anne Glenn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 of North Carolina, Greensboro, NC, United States. </w:t>
                  </w:r>
                  <w:r w:rsidRPr="001F5B5C">
                    <w:rPr>
                      <w:rFonts w:ascii="Times New Roman" w:eastAsia="Times New Roman" w:hAnsi="Times New Roman"/>
                      <w:sz w:val="20"/>
                      <w:szCs w:val="20"/>
                    </w:rPr>
                    <w:br/>
                    <w:t xml:space="preserve">2. School of Chemistry, University of Bristol, Bristol, United Kingdom. </w:t>
                  </w:r>
                  <w:r w:rsidRPr="001F5B5C">
                    <w:rPr>
                      <w:rFonts w:ascii="Times New Roman" w:eastAsia="Times New Roman" w:hAnsi="Times New Roman"/>
                      <w:sz w:val="20"/>
                      <w:szCs w:val="20"/>
                    </w:rPr>
                    <w:br/>
                    <w:t xml:space="preserve">3. Chemistry, Guilford College, Greensboro,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arylation and alkylation of transition metals is a standard way of forming organometallic compounds. Utilizing two major ligands, the napthyl group and the mesityl group we were able to investigate synthesis of organoiron complexes of high molecular complexity. Our research focused on synthesizing and characterizing organoiron complexes in </w:t>
                  </w:r>
                  <w:proofErr w:type="gramStart"/>
                  <w:r w:rsidRPr="001F5B5C">
                    <w:rPr>
                      <w:rFonts w:ascii="Times New Roman" w:eastAsia="Times New Roman" w:hAnsi="Times New Roman"/>
                      <w:sz w:val="20"/>
                      <w:szCs w:val="20"/>
                    </w:rPr>
                    <w:t>Fe(</w:t>
                  </w:r>
                  <w:proofErr w:type="gramEnd"/>
                  <w:r w:rsidRPr="001F5B5C">
                    <w:rPr>
                      <w:rFonts w:ascii="Times New Roman" w:eastAsia="Times New Roman" w:hAnsi="Times New Roman"/>
                      <w:sz w:val="20"/>
                      <w:szCs w:val="20"/>
                    </w:rPr>
                    <w:t>II) and Fe(IV) oxidation states.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2368827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Ligand photorelease from Ru(II)bis(2,2’-bipyridine)L</w:t>
                  </w:r>
                  <w:r w:rsidRPr="001F5B5C">
                    <w:rPr>
                      <w:rFonts w:ascii="Times New Roman" w:eastAsia="Times New Roman" w:hAnsi="Times New Roman"/>
                      <w:sz w:val="20"/>
                      <w:szCs w:val="20"/>
                      <w:vertAlign w:val="subscript"/>
                    </w:rPr>
                    <w:t xml:space="preserve">2 </w:t>
                  </w:r>
                  <w:r w:rsidRPr="001F5B5C">
                    <w:rPr>
                      <w:rFonts w:ascii="Times New Roman" w:eastAsia="Times New Roman" w:hAnsi="Times New Roman"/>
                      <w:sz w:val="20"/>
                      <w:szCs w:val="20"/>
                    </w:rPr>
                    <w:t>complexes encapsulated within a Zn(II)-trimesic acid based metal organic framework</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Joey Lee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jmlee16@catamount.wcu.edu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Joey M. Lee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Tarah A. Word</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Randy W. Larsen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South Florida, Tampa, FL, United States. </w:t>
                  </w:r>
                  <w:r w:rsidRPr="001F5B5C">
                    <w:rPr>
                      <w:rFonts w:ascii="Times New Roman" w:eastAsia="Times New Roman" w:hAnsi="Times New Roman"/>
                      <w:sz w:val="20"/>
                      <w:szCs w:val="20"/>
                    </w:rPr>
                    <w:br/>
                    <w:t xml:space="preserve">2. Chemistry and Physics, Western Carolina University, Marion, North Carolina, United States Minor Outlying Islands. </w:t>
                  </w:r>
                  <w:r w:rsidRPr="001F5B5C">
                    <w:rPr>
                      <w:rFonts w:ascii="Times New Roman" w:eastAsia="Times New Roman" w:hAnsi="Times New Roman"/>
                      <w:sz w:val="20"/>
                      <w:szCs w:val="20"/>
                    </w:rPr>
                    <w:br/>
                    <w:t xml:space="preserve">3. Chemistry, University of South Florida, Tampa,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development of new photodynamic therapy agents has remained an active area of research with regards to targeted therapeutics. The Ru(II) bis(2,2’-bipyridine)L</w:t>
                  </w:r>
                  <w:r w:rsidRPr="001F5B5C">
                    <w:rPr>
                      <w:rFonts w:ascii="Times New Roman" w:eastAsia="Times New Roman" w:hAnsi="Times New Roman"/>
                      <w:sz w:val="20"/>
                      <w:szCs w:val="20"/>
                      <w:vertAlign w:val="subscript"/>
                    </w:rPr>
                    <w:t xml:space="preserve">2 </w:t>
                  </w:r>
                  <w:r w:rsidRPr="001F5B5C">
                    <w:rPr>
                      <w:rFonts w:ascii="Times New Roman" w:eastAsia="Times New Roman" w:hAnsi="Times New Roman"/>
                      <w:sz w:val="20"/>
                      <w:szCs w:val="20"/>
                    </w:rPr>
                    <w:t xml:space="preserve">type metal clusters (where L = ligand containing primary or secondary amine, thiol, etc) are becoming an important class of photo-active drug delivery system as L can be released on ns time scales and with relative high quantum yields (~0.5 to ~5%). Biologically active ligands containing primary or secondary amine groups have been previously examined with regards to photo-release from the </w:t>
                  </w:r>
                  <w:proofErr w:type="gramStart"/>
                  <w:r w:rsidRPr="001F5B5C">
                    <w:rPr>
                      <w:rFonts w:ascii="Times New Roman" w:eastAsia="Times New Roman" w:hAnsi="Times New Roman"/>
                      <w:sz w:val="20"/>
                      <w:szCs w:val="20"/>
                    </w:rPr>
                    <w:t>Ru(</w:t>
                  </w:r>
                  <w:proofErr w:type="gramEnd"/>
                  <w:r w:rsidRPr="001F5B5C">
                    <w:rPr>
                      <w:rFonts w:ascii="Times New Roman" w:eastAsia="Times New Roman" w:hAnsi="Times New Roman"/>
                      <w:sz w:val="20"/>
                      <w:szCs w:val="20"/>
                    </w:rPr>
                    <w:t>II) bis(2,2’-bipyridine)L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complex including tyramine, tryptamine, and g aminobutyric acid (GABA). As an extension to this work, the present study probes the feasibility of selectively photo-releasing bioactive molecules from porous metal organic framework materials that could be developed as implants for photodynamic therapy. Two complexes have been examined here containing ligands of different steric bulk: acetonitrile and 6</w:t>
                  </w:r>
                  <w:proofErr w:type="gramStart"/>
                  <w:r w:rsidRPr="001F5B5C">
                    <w:rPr>
                      <w:rFonts w:ascii="Times New Roman" w:eastAsia="Times New Roman" w:hAnsi="Times New Roman"/>
                      <w:sz w:val="20"/>
                      <w:szCs w:val="20"/>
                    </w:rPr>
                    <w:t>,6’</w:t>
                  </w:r>
                  <w:proofErr w:type="gramEnd"/>
                  <w:r w:rsidRPr="001F5B5C">
                    <w:rPr>
                      <w:rFonts w:ascii="Times New Roman" w:eastAsia="Times New Roman" w:hAnsi="Times New Roman"/>
                      <w:sz w:val="20"/>
                      <w:szCs w:val="20"/>
                    </w:rPr>
                    <w:t>- dimethyl - 2,2’ –bipyridine. The data indicates the successful encapsulation of the Ru complexes within the polyhedral MOF USF2. In addition, the data reveals that illumination of the Ru(II) bis(2,2’-bipyridine)(acetonitrile)</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@USF2 results in ligand ejection and diffusion of the ligand from the internal pores of the MOF while illumination of the bulkier Ru(II) bis(2,2’-bipyridine)(6,6’-dimethyl-2,2’-bipyridine)@USF2 leaves the Ru cluster intact. These results demonstrate the possibility of using MOFs coupled with Ru-Ligand complexes to develop new materials for photo-dynamic therapy.</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2368836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Importance of Phosphine ligand Design in the Elucidation of Homogeneous Gold (I) Mechanisms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Frederick Liu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liufl13@wfu.edu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Frederick Liu</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Carolin Griebel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Amanda C. Jones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Wake Forest University, Winston-Salem, NC, United States. </w:t>
                  </w:r>
                  <w:r w:rsidRPr="001F5B5C">
                    <w:rPr>
                      <w:rFonts w:ascii="Times New Roman" w:eastAsia="Times New Roman" w:hAnsi="Times New Roman"/>
                      <w:sz w:val="20"/>
                      <w:szCs w:val="20"/>
                    </w:rPr>
                    <w:br/>
                    <w:t xml:space="preserve">2. Chemistry Dept Salem Hall, Wake Forest University, Winston Salem,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Homogenous gold (I) catalysts are growing in popularity due to their broad applicability, excellent selectivity, high atom-economy, good functional group tolerance, as well as being able to selectively coordinate to a variety of carbon-carbon π-systems. While gold (I) complexes are known to catalyze a vast range of reactions, less is understood about exactly how the underlying reaction works. As part of efforts to design and synthesize new functional ligands which will assist in the elucidation of these mechanisms, we have prepared a series of phosphine ligands and their corresponding gold (I) chloride precatalyst complexes. The complexes targeted incorporate two bulky biphenyl substituents and have been characterized in solution using NMR spectroscopy and in solid state using X-ray crystallography. Our design originated from the concept of steric stability. With large supporting substituents, it is proposed that these groups will provide added durability to the gold catalyst during the reaction. In future studies we will use these new catalysts to obtain information concerning the kinetics of intermolecular alkene exchange via observation of dynamic NMR processes. This fundamental information will in turn be correlated with overall catalyst and reaction efficiency.</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2369008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Pyridine-Indole couples and colorimetric responses to cations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Thomas Vinson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tvinson1@my.westga.edu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Thomas Vinson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Megumi Fujita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West Georgia, Carrollton,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We have synthesized indole-pyridine couples with extended pi system to test them as colorimetric metal ion sensors. Indoles are inherently fluorescent: absorbing UV-range light and emit lower energy light (often visible range). By extending the pi system of the indole, the absorbance wavelength may shift toward visible range. Indoles do not strongly bind cations, but if a pendant pyridine group is added, it can ligate a cation and bring it near the indole unit. We expect that the absorption/fluorescence properties of pi-extended indole units be influenced to the change in the local environment. In this poster we will present preliminary results of the spectroscopic changes of the newly synthesized pyridine-indole couples upon interaction with select s-block and d-block cations in solutions, both qualitatively and quantitatively.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2369341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SEROTONIN GOLD NANOCOROLS FOR TRACE LEVEL DETECTION OF NITROEXPLOSIVES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Jeremy White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jeremy.r.white@students.jsums.edu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Jeremy R. White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Jarette Evans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Shantelle I. Hughes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Hongtao Yu</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Samuel S. Dasary</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Jackson State University, Jackson, MS, United States. </w:t>
                  </w:r>
                  <w:r w:rsidRPr="001F5B5C">
                    <w:rPr>
                      <w:rFonts w:ascii="Times New Roman" w:eastAsia="Times New Roman" w:hAnsi="Times New Roman"/>
                      <w:sz w:val="20"/>
                      <w:szCs w:val="20"/>
                    </w:rPr>
                    <w:br/>
                    <w:t xml:space="preserve">2. Department of Chemistry and Biochemistry, Jackson State University, Jackson,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Serotonin is a neurotransmitter and a derivative of tryptophan. It is known to complex with</w:t>
                  </w:r>
                  <w:r w:rsidRPr="001F5B5C">
                    <w:rPr>
                      <w:rFonts w:ascii="Times New Roman" w:eastAsia="Times New Roman" w:hAnsi="Times New Roman"/>
                      <w:sz w:val="20"/>
                      <w:szCs w:val="20"/>
                    </w:rPr>
                    <w:br/>
                    <w:t>nitroexplosives like picric acid. In the present work, we have used Serotonin as a reducing agent</w:t>
                  </w:r>
                  <w:r w:rsidRPr="001F5B5C">
                    <w:rPr>
                      <w:rFonts w:ascii="Times New Roman" w:eastAsia="Times New Roman" w:hAnsi="Times New Roman"/>
                      <w:sz w:val="20"/>
                      <w:szCs w:val="20"/>
                    </w:rPr>
                    <w:br/>
                    <w:t>and stabilizer to synthesize gold nanocorals (AuNCs). The as synthesized nanocorols were found</w:t>
                  </w:r>
                  <w:r w:rsidRPr="001F5B5C">
                    <w:rPr>
                      <w:rFonts w:ascii="Times New Roman" w:eastAsia="Times New Roman" w:hAnsi="Times New Roman"/>
                      <w:sz w:val="20"/>
                      <w:szCs w:val="20"/>
                    </w:rPr>
                    <w:br/>
                    <w:t>to have excellent optical and spectroscopic properties. The synthesized nanocorals were</w:t>
                  </w:r>
                  <w:r w:rsidRPr="001F5B5C">
                    <w:rPr>
                      <w:rFonts w:ascii="Times New Roman" w:eastAsia="Times New Roman" w:hAnsi="Times New Roman"/>
                      <w:sz w:val="20"/>
                      <w:szCs w:val="20"/>
                    </w:rPr>
                    <w:br/>
                    <w:t>characterized using TEM microscopy, UV-Vis and FT-IR spectroscopy. Our preliminary studies</w:t>
                  </w:r>
                  <w:r w:rsidRPr="001F5B5C">
                    <w:rPr>
                      <w:rFonts w:ascii="Times New Roman" w:eastAsia="Times New Roman" w:hAnsi="Times New Roman"/>
                      <w:sz w:val="20"/>
                      <w:szCs w:val="20"/>
                    </w:rPr>
                    <w:br/>
                    <w:t>indicate the serotonin AuNCs have excellent binding with picric acid in water samples at a pH of</w:t>
                  </w:r>
                  <w:r w:rsidRPr="001F5B5C">
                    <w:rPr>
                      <w:rFonts w:ascii="Times New Roman" w:eastAsia="Times New Roman" w:hAnsi="Times New Roman"/>
                      <w:sz w:val="20"/>
                      <w:szCs w:val="20"/>
                    </w:rPr>
                    <w:br/>
                    <w:t>10. The work is ongoing to further study the selectivity and sensitivity of the AuNCs nanoprobe</w:t>
                  </w:r>
                  <w:r w:rsidRPr="001F5B5C">
                    <w:rPr>
                      <w:rFonts w:ascii="Times New Roman" w:eastAsia="Times New Roman" w:hAnsi="Times New Roman"/>
                      <w:sz w:val="20"/>
                      <w:szCs w:val="20"/>
                    </w:rPr>
                    <w:br/>
                    <w:t>for ultrasensitive and selective detection of picric acid in the presence of other similar structural</w:t>
                  </w:r>
                  <w:r w:rsidRPr="001F5B5C">
                    <w:rPr>
                      <w:rFonts w:ascii="Times New Roman" w:eastAsia="Times New Roman" w:hAnsi="Times New Roman"/>
                      <w:sz w:val="20"/>
                      <w:szCs w:val="20"/>
                    </w:rPr>
                    <w:br/>
                    <w:t>analogues. We were able to detect picric acid concentrations as low as 750uM.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2369428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Synthesis of Nitrogen-Rich Ligands and Cobalt Complexes for Hydrogen Production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Tiffany Rice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tiffanyrice94@yahoo.com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Tiffany Rice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Scott R. Powers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Yacine Gueye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Xuan Zhao</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Memphis, Cordova, TN, United States. </w:t>
                  </w:r>
                  <w:r w:rsidRPr="001F5B5C">
                    <w:rPr>
                      <w:rFonts w:ascii="Times New Roman" w:eastAsia="Times New Roman" w:hAnsi="Times New Roman"/>
                      <w:sz w:val="20"/>
                      <w:szCs w:val="20"/>
                    </w:rPr>
                    <w:br/>
                    <w:t xml:space="preserve">2. Department of Chemistry, The University of Memphis,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order to understand electronic and steric effects for hydrogen production by Co catalyst, various forms of a Co complex with the ligand scaffold, 1-([2</w:t>
                  </w:r>
                  <w:proofErr w:type="gramStart"/>
                  <w:r w:rsidRPr="001F5B5C">
                    <w:rPr>
                      <w:rFonts w:ascii="Times New Roman" w:eastAsia="Times New Roman" w:hAnsi="Times New Roman"/>
                      <w:sz w:val="20"/>
                      <w:szCs w:val="20"/>
                    </w:rPr>
                    <w:t>,2'</w:t>
                  </w:r>
                  <w:proofErr w:type="gramEnd"/>
                  <w:r w:rsidRPr="001F5B5C">
                    <w:rPr>
                      <w:rFonts w:ascii="Times New Roman" w:eastAsia="Times New Roman" w:hAnsi="Times New Roman"/>
                      <w:sz w:val="20"/>
                      <w:szCs w:val="20"/>
                    </w:rPr>
                    <w:t>-bipyridin]-6-yl)-N,N-bis(pyrazin-2-ylmethyl)methanamine (D4-PZA-Bpy) were explored. The catalytic properties of the hydrogen production were observed. This study showed that the efficiency of the catalyst can be dramatically different at most pH levels with more N-rich ligand.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Inorganic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2369538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 pedagogic green chemistry demonstration using dye-sensitized solar cells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Layla Gargus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layrgarg@ut.utm.edu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Layla Gargus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Heather Streckert</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Krysten A. Harris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Jason Alexander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Shakti K. Airee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The University of Tennessee at Martin, Martin, TN, United States. </w:t>
                  </w:r>
                  <w:r w:rsidRPr="001F5B5C">
                    <w:rPr>
                      <w:rFonts w:ascii="Times New Roman" w:eastAsia="Times New Roman" w:hAnsi="Times New Roman"/>
                      <w:sz w:val="20"/>
                      <w:szCs w:val="20"/>
                    </w:rPr>
                    <w:br/>
                    <w:t xml:space="preserve">2. Department of Chemistry and Physics, University of Tennessee at Martin, Martin,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 solar cell kit was obtained from Beyond Benign which utilizes titanium dioxide and indium tin oxide plates with iodide/iodine electrolyte.with blackberry juice as sensitizer. This dye sensitized solar cell has three major steps: the anthocyanin from the blackberry juice is adsorbed into the titanium dioxide, which is a semiconductor that interacts with the visible light and excites electrons, the dye is diffusedbetween two layers, titanium dioxide and indium tin oxide; and when the multi-meter is connected, it forms an outside circuit, the dye returns to its normal state. The graphite used in the demonstration enhances the interaction with electrolytic solution. This demonstration has been used in conjunction with NCW program, at </w:t>
                  </w:r>
                  <w:proofErr w:type="gramStart"/>
                  <w:r w:rsidRPr="001F5B5C">
                    <w:rPr>
                      <w:rFonts w:ascii="Times New Roman" w:eastAsia="Times New Roman" w:hAnsi="Times New Roman"/>
                      <w:sz w:val="20"/>
                      <w:szCs w:val="20"/>
                    </w:rPr>
                    <w:t>schools,</w:t>
                  </w:r>
                  <w:proofErr w:type="gramEnd"/>
                  <w:r w:rsidRPr="001F5B5C">
                    <w:rPr>
                      <w:rFonts w:ascii="Times New Roman" w:eastAsia="Times New Roman" w:hAnsi="Times New Roman"/>
                      <w:sz w:val="20"/>
                      <w:szCs w:val="20"/>
                    </w:rPr>
                    <w:t xml:space="preserve"> civic clubs etc to highlight the green chemistry principles by UTM Student Members of the American Chemical Society Also under study are other natural chemicals such as indigo as sensitizers.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2350833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Utilization of biologically derived polyester polyols in surfactants for polyurethane foams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Benjamin Stephens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stephensbo@g.cofc.edu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Benjamin Stephens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Neal Tonks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College of Charleston, Spartanburg,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Polyurethane foams have become a multimillion dollar industry as increased use of the plastics has grown. The increasing production of polyurethane foams has driven a movement to integrate more biologically friendly compounds into the synthesis of the foams. Natural triglycerides from soy are used as starting materials for the surfactant, as well as a contributing polyol in the polyurethane foam synthesis. Foams were synthesized using traditional polyether surfactants and a variety of bio-based surfactants and compared to one another to determine differences between the densities, rise height, and rise times.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8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2354200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Solid-phase peptide synthesis and antimicrobial assessment of a plant-derived cyclic peptide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Calla Telzrow</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telzrc12@highpoint.edu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Calla L. Telzrow</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Andrew J. Wommack</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High Point University, High Point,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i/>
                      <w:iCs/>
                      <w:sz w:val="20"/>
                      <w:szCs w:val="20"/>
                    </w:rPr>
                    <w:t>Jatropha</w:t>
                  </w:r>
                  <w:r w:rsidRPr="001F5B5C">
                    <w:rPr>
                      <w:rFonts w:ascii="Times New Roman" w:eastAsia="Times New Roman" w:hAnsi="Times New Roman"/>
                      <w:sz w:val="20"/>
                      <w:szCs w:val="20"/>
                    </w:rPr>
                    <w:t xml:space="preserve">, a genus of woody trees and shrubs ubiquitous in the dry tropics, is prevalent in Latin American, Asian, and African ethnopharmacology. Peptides isolated from </w:t>
                  </w:r>
                  <w:r w:rsidRPr="001F5B5C">
                    <w:rPr>
                      <w:rFonts w:ascii="Times New Roman" w:eastAsia="Times New Roman" w:hAnsi="Times New Roman"/>
                      <w:i/>
                      <w:iCs/>
                      <w:sz w:val="20"/>
                      <w:szCs w:val="20"/>
                    </w:rPr>
                    <w:t xml:space="preserve">Jatropha </w:t>
                  </w:r>
                  <w:r w:rsidRPr="001F5B5C">
                    <w:rPr>
                      <w:rFonts w:ascii="Times New Roman" w:eastAsia="Times New Roman" w:hAnsi="Times New Roman"/>
                      <w:sz w:val="20"/>
                      <w:szCs w:val="20"/>
                    </w:rPr>
                    <w:t xml:space="preserve">species exhibit diverse biological activity, including purgative, wound-healing, antimalarial, and antifungal effects. Cyclogossine A, a cyclic heptapeptide with the primary structure VLATWLG, is isolated from </w:t>
                  </w:r>
                  <w:r w:rsidRPr="001F5B5C">
                    <w:rPr>
                      <w:rFonts w:ascii="Times New Roman" w:eastAsia="Times New Roman" w:hAnsi="Times New Roman"/>
                      <w:i/>
                      <w:iCs/>
                      <w:sz w:val="20"/>
                      <w:szCs w:val="20"/>
                    </w:rPr>
                    <w:t>J. gossypiifolia</w:t>
                  </w:r>
                  <w:r w:rsidRPr="001F5B5C">
                    <w:rPr>
                      <w:rFonts w:ascii="Times New Roman" w:eastAsia="Times New Roman" w:hAnsi="Times New Roman"/>
                      <w:sz w:val="20"/>
                      <w:szCs w:val="20"/>
                    </w:rPr>
                    <w:t>. Although the medicinal use of the plant is well documented, the biological activity of Cyclogossine A remains unreported. Due to its rigid structure and hydrophobic side chains, Cyclogossine A possesses therapeutic potential. Expedient access to Cyclogossine A was enabled by flow chemistry methods, which were engineered for Fmoc-based solid-phase peptide synthesis. HPLC purification and Q-TOF mass spectrometry were utilized to confirm the synthesis and purity of the primary structure. After optimizing the cyclization reaction, which formed an amide bond between the C-terminus and N-terminus of the linear peptide, the naturally occurring ring structure was created. Using the cyclic peptide as a scaffold, the incorporation of the alkene-containing amino acid dehydrobutyrine, which is found in lantibiotics, was successful. 2-D NMR spectroscopy data further support the desired synthesis and cyclization of both the natural and engineered peptides. Studies are underway to explore the antimicrobial effects of Cyclogossine A against a library of bacteria, parasites, and fungi. Following confirmation of activity, cytotoxicity assays, fluorescence spectroscopy, and electron microscopy may be employed to further investigate the biological mechanisms of Cyclogossine 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2355553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Cationic gemini surfactants used for enhanced oil recovery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Adam Woods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adam.woods@pop.belmont.edu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Adam X. Woods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Kimberlee A. Daus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Belmont </w:t>
                  </w:r>
                  <w:proofErr w:type="gramStart"/>
                  <w:r w:rsidRPr="001F5B5C">
                    <w:rPr>
                      <w:rFonts w:ascii="Times New Roman" w:eastAsia="Times New Roman" w:hAnsi="Times New Roman"/>
                      <w:sz w:val="20"/>
                      <w:szCs w:val="20"/>
                    </w:rPr>
                    <w:t>University ,</w:t>
                  </w:r>
                  <w:proofErr w:type="gramEnd"/>
                  <w:r w:rsidRPr="001F5B5C">
                    <w:rPr>
                      <w:rFonts w:ascii="Times New Roman" w:eastAsia="Times New Roman" w:hAnsi="Times New Roman"/>
                      <w:sz w:val="20"/>
                      <w:szCs w:val="20"/>
                    </w:rPr>
                    <w:t xml:space="preserve"> Nashville, TN, United States. </w:t>
                  </w:r>
                  <w:r w:rsidRPr="001F5B5C">
                    <w:rPr>
                      <w:rFonts w:ascii="Times New Roman" w:eastAsia="Times New Roman" w:hAnsi="Times New Roman"/>
                      <w:sz w:val="20"/>
                      <w:szCs w:val="20"/>
                    </w:rPr>
                    <w:br/>
                    <w:t xml:space="preserve">2. Dept of Chemistry Physics, Belmont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Abstract: Abstract</w:t>
                  </w:r>
                  <w:proofErr w:type="gramStart"/>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br/>
                    <w:t>Surfactants used for enhanced oil recovery (EOR) have been applied commercially for many years dating back to the 1970s and 1980s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Surfactants or surface-active agents are compounds that reduce surface tension between two liquids or a liquid and a solid. In the field of EOR, surfactants are used to reduce the surface tension between rock and oil by water flooding. This process releases trapped oil in presumed depleted oil reservoirs.New gemini (double head) surfactants posses the capability to reduce the surface tension to lower values than previously reported single head surfactants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This factor garners attention to gemini surfactants as prime candidates for enhanced oil recovery.</w:t>
                  </w:r>
                  <w:r w:rsidRPr="001F5B5C">
                    <w:rPr>
                      <w:rFonts w:ascii="Times New Roman" w:eastAsia="Times New Roman" w:hAnsi="Times New Roman"/>
                      <w:sz w:val="20"/>
                      <w:szCs w:val="20"/>
                    </w:rPr>
                    <w:br/>
                    <w:t>We aim to synthesize quaternary ammonium salts, a class of gemini surfactants, previously used as fabric softeners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xml:space="preserve">. The two surfactants differ by the total number of tails on each compound. </w:t>
                  </w:r>
                  <w:proofErr w:type="gramStart"/>
                  <w:r w:rsidRPr="001F5B5C">
                    <w:rPr>
                      <w:rFonts w:ascii="Times New Roman" w:eastAsia="Times New Roman" w:hAnsi="Times New Roman"/>
                      <w:sz w:val="20"/>
                      <w:szCs w:val="20"/>
                    </w:rPr>
                    <w:t>Bis(</w:t>
                  </w:r>
                  <w:proofErr w:type="gramEnd"/>
                  <w:r w:rsidRPr="001F5B5C">
                    <w:rPr>
                      <w:rFonts w:ascii="Times New Roman" w:eastAsia="Times New Roman" w:hAnsi="Times New Roman"/>
                      <w:sz w:val="20"/>
                      <w:szCs w:val="20"/>
                    </w:rPr>
                    <w:t>2-hydroxy-3 (dodecyldimethylammonio)propyl)methylamine dichloride (2a) contain two tails while bis(2-hydroxy-3 (dodecyldimethylammonio)propyl)dodecylamine dichloride (2b) contain three tails. See figures 1 and 2 below. The presentation will describe the synthesis and characterization of the two surfactants. We hypothesize that compound 2b will show superior ability to disperse oil in an enhanced oil recovery systems based on the trimeric gemini abilities.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r w:rsidRPr="001F5B5C">
                    <w:rPr>
                      <w:rFonts w:ascii="Times New Roman" w:eastAsia="Times New Roman" w:hAnsi="Times New Roman"/>
                      <w:b/>
                      <w:bCs/>
                      <w:sz w:val="20"/>
                      <w:szCs w:val="20"/>
                    </w:rPr>
                    <w:t>References</w:t>
                  </w:r>
                  <w:proofErr w:type="gramStart"/>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br/>
                    <w:t>1. Wu, Y.,Shuler, P.J., Blanco, M., Tang, Y., Goddard, W.A, 2005. A Study of Branched Alcohol Propoxylate Sulfate Surfactants for Improved Oil Recovery. Paper SPE 95404, SPE Annual Technical Conference and Exhibition, Dallas, TX, USA, October 9-12.</w:t>
                  </w:r>
                  <w:r w:rsidRPr="001F5B5C">
                    <w:rPr>
                      <w:rFonts w:ascii="Times New Roman" w:eastAsia="Times New Roman" w:hAnsi="Times New Roman"/>
                      <w:sz w:val="20"/>
                      <w:szCs w:val="20"/>
                    </w:rPr>
                    <w:br/>
                    <w:t>2. Rosen, M.J. Surfactants and Interfacial Phenomena; 2</w:t>
                  </w:r>
                  <w:r w:rsidRPr="001F5B5C">
                    <w:rPr>
                      <w:rFonts w:ascii="Times New Roman" w:eastAsia="Times New Roman" w:hAnsi="Times New Roman"/>
                      <w:sz w:val="20"/>
                      <w:szCs w:val="20"/>
                      <w:vertAlign w:val="superscript"/>
                    </w:rPr>
                    <w:t>nd</w:t>
                  </w:r>
                  <w:r w:rsidRPr="001F5B5C">
                    <w:rPr>
                      <w:rFonts w:ascii="Times New Roman" w:eastAsia="Times New Roman" w:hAnsi="Times New Roman"/>
                      <w:sz w:val="20"/>
                      <w:szCs w:val="20"/>
                    </w:rPr>
                    <w:t xml:space="preserve"> ed.; John Wiley &amp; Sons: New York, 1989.</w:t>
                  </w:r>
                  <w:r w:rsidRPr="001F5B5C">
                    <w:rPr>
                      <w:rFonts w:ascii="Times New Roman" w:eastAsia="Times New Roman" w:hAnsi="Times New Roman"/>
                      <w:sz w:val="20"/>
                      <w:szCs w:val="20"/>
                    </w:rPr>
                    <w:br/>
                    <w:t>3. Mary E. Anzovino, Andrew E. Greenberg, and John W. Moore. 2014. Experimenting with Synthesis and Analysis of Cationic Gemini Surfactants in a Second-Semester General Chemistry Laboratory. Journal of Chemical Education Article.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2356480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Zinc triflate catalyzed Minisci reactions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Savannah Jones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savannahlj930@gmail.com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Savannah Jones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Joyce L. Biaco</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Timothy J. Barker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w:t>
                  </w:r>
                  <w:proofErr w:type="gramStart"/>
                  <w:r w:rsidRPr="001F5B5C">
                    <w:rPr>
                      <w:rFonts w:ascii="Times New Roman" w:eastAsia="Times New Roman" w:hAnsi="Times New Roman"/>
                      <w:sz w:val="20"/>
                      <w:szCs w:val="20"/>
                    </w:rPr>
                    <w:t>Biochemistry ,</w:t>
                  </w:r>
                  <w:proofErr w:type="gramEnd"/>
                  <w:r w:rsidRPr="001F5B5C">
                    <w:rPr>
                      <w:rFonts w:ascii="Times New Roman" w:eastAsia="Times New Roman" w:hAnsi="Times New Roman"/>
                      <w:sz w:val="20"/>
                      <w:szCs w:val="20"/>
                    </w:rPr>
                    <w:t xml:space="preserve"> College of Charleston, Charleston, SC, United States. </w:t>
                  </w:r>
                  <w:r w:rsidRPr="001F5B5C">
                    <w:rPr>
                      <w:rFonts w:ascii="Times New Roman" w:eastAsia="Times New Roman" w:hAnsi="Times New Roman"/>
                      <w:sz w:val="20"/>
                      <w:szCs w:val="20"/>
                    </w:rPr>
                    <w:br/>
                    <w:t xml:space="preserve">2.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We report a zinc triflate-catalyzed coupling between heterocyles and arylboronic acids. The substrate scope with respect to the arylboronic acid has been examined. Control experiments revealed that the zinc triflate is functioning as a Lewis acid in an aqueous solvent mixture.</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2359800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Time-resolving unimer exchange in block copolymer micelles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Katherine Miller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mille175@go.stockton.edu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Katherine M. Miller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Bryce Kidd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Xiuli Li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Tyler Cooksey</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Megan L. Robertson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Louis A. Madsen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Stockton University, Pamona, NJ, United States. </w:t>
                  </w:r>
                  <w:r w:rsidRPr="001F5B5C">
                    <w:rPr>
                      <w:rFonts w:ascii="Times New Roman" w:eastAsia="Times New Roman" w:hAnsi="Times New Roman"/>
                      <w:sz w:val="20"/>
                      <w:szCs w:val="20"/>
                    </w:rPr>
                    <w:br/>
                    <w:t xml:space="preserve">2. Dept. of Chemistry, Virginia Polytechnic Institute and State University, Blacksburg, VA, United States. </w:t>
                  </w:r>
                  <w:r w:rsidRPr="001F5B5C">
                    <w:rPr>
                      <w:rFonts w:ascii="Times New Roman" w:eastAsia="Times New Roman" w:hAnsi="Times New Roman"/>
                      <w:sz w:val="20"/>
                      <w:szCs w:val="20"/>
                    </w:rPr>
                    <w:br/>
                    <w:t xml:space="preserve">3. Dept. of Chemical and Biomolecular Engineerin, University of Houston, Houston,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Full comprehension of micelle dynamics is required if polymeric micelles are to be used as targeted drug delivery vehicles. Contrast-matching Time-Resolved Small Angle Neutron Scattering (TR-SANS) has proven useful in understanding unimer (polymer chain) exchange rates, however, it is a time and resource exhaustive technique. In this work, we explore the utility of NMR spectroscopy techniques, such as spin-lattice relaxation time and pulsed-field-gradient diffusometry, as an alternative to TR-SANS. We use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 and </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H-based poly(ethylene oxide)-polycaprolactone diblock copolymers that self-assemble into spherical micelles at 1% w/v. Analogous to the contrast-matching TR-SANS experiment, mixing of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 and </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H-based micelles shows an increase in spin-lattice relaxation time with time due to mixing of the unimers. We further evaluate the mechanism of unimer exchange through NMR diffusometry to show two-component diffusion coefficients, suggestive of both free unimer and micelles existing in solution. The combined data is suggestive of free unimer exchange as </w:t>
                  </w:r>
                  <w:proofErr w:type="gramStart"/>
                  <w:r w:rsidRPr="001F5B5C">
                    <w:rPr>
                      <w:rFonts w:ascii="Times New Roman" w:eastAsia="Times New Roman" w:hAnsi="Times New Roman"/>
                      <w:sz w:val="20"/>
                      <w:szCs w:val="20"/>
                    </w:rPr>
                    <w:t>the dominate</w:t>
                  </w:r>
                  <w:proofErr w:type="gramEnd"/>
                  <w:r w:rsidRPr="001F5B5C">
                    <w:rPr>
                      <w:rFonts w:ascii="Times New Roman" w:eastAsia="Times New Roman" w:hAnsi="Times New Roman"/>
                      <w:sz w:val="20"/>
                      <w:szCs w:val="20"/>
                    </w:rPr>
                    <w:t xml:space="preserve"> exchanging mechanism. As an alternative to traditional characterization techniques, NMR is a much more easily accessible and cost effective method of analysis. We believe that NMR spectroscopy and diffusometry will prove to be promising techniques for more general characterization of micelle dynamics.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2359804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Optimization of the Transfer-To Approach for Bottlebrush Polymer Synthesis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Michelle Corley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michellecorley72@gmail.com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Michelle Corley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Scott Radzinski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Jeffrey Foster</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John Matson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Winthrop University, Lexington, SC, United States. </w:t>
                  </w:r>
                  <w:r w:rsidRPr="001F5B5C">
                    <w:rPr>
                      <w:rFonts w:ascii="Times New Roman" w:eastAsia="Times New Roman" w:hAnsi="Times New Roman"/>
                      <w:sz w:val="20"/>
                      <w:szCs w:val="20"/>
                    </w:rPr>
                    <w:br/>
                    <w:t xml:space="preserve">2. Macromolecules and Interface Institute, Virginia Tech, Blacksburg, VA, United States. </w:t>
                  </w:r>
                  <w:r w:rsidRPr="001F5B5C">
                    <w:rPr>
                      <w:rFonts w:ascii="Times New Roman" w:eastAsia="Times New Roman" w:hAnsi="Times New Roman"/>
                      <w:sz w:val="20"/>
                      <w:szCs w:val="20"/>
                    </w:rPr>
                    <w:br/>
                    <w:t xml:space="preserve">3. Macromolecules and Interface Institute, Virginia Tech, Blacksburg,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Ring-opening metathesis polymerization (ROMP) and reversible addition–fragmentation chain transfer (RAFT) polymerization were employed sequentially to prepare bottlebrush polymers using the transfer-to approach. RAFT transfer-to is a unique strategy for synthesizing bottlebrush polymers wherein a polymeric chain transfer agent (PCTA) is synthesized using ROMP with the Z-group attached to the polymer backbone. In the RAFT step, side chains detach from the bottlebrush backbone, propagate freely in solution, and then return to a new reactive site on the bottlebrush backbone. This study focused on optimizing the RAFT transfer-to step for preparing bottlebrush polymers by varying PCTA concentration, radical initiator concentration, and temperature. Size exclusion chromatography (SEC) was used to determine molecular weight and dispersity of the bottlebrush polymers, and aminolysis was conducted to cleave off the side chains to evaluate grafting density as well as the molecular weight and dispersity of the polymeric side chains. Based on SEC, it was concluded that CTA concentration gave control of the molecular weight of bottlebrush polymers as well as the side chains. Lower CTA concentration yielded high molecular weight bottlebrushes (1,600 kDa) of narrow dispersity (1.02). Radical initiator concentration also had an effect on the dispersities of the polymers, with higher radical initiator concentrations leading to a broadening of the bottlebrush molecular weight distribution. Finally, high temperatures (&gt; 75 °C) degraded the PCTA, reducing control over the polymerization. These conclusions will enable the preparation of ultra-high MW bottlebrush polymers with high grafting densities and well-defined side chains.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2359854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Synthesis of Heteroditopic AB Monomer for Host-Guest Supramolecular Polymer System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Fiorella Mazzini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fioremm4@vt.edu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Fiorella Mazzini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Hanlie Wessels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Terry Price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Harry W. Gibson</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Virginia Polytechnic Institute and State University, Blacksburg, VA, United States. </w:t>
                  </w:r>
                  <w:r w:rsidRPr="001F5B5C">
                    <w:rPr>
                      <w:rFonts w:ascii="Times New Roman" w:eastAsia="Times New Roman" w:hAnsi="Times New Roman"/>
                      <w:sz w:val="20"/>
                      <w:szCs w:val="20"/>
                    </w:rPr>
                    <w:br/>
                    <w:t xml:space="preserve">2. Chemistry, Virginia Polytechnic Institute and State University, Blacksburg, VA, United States. </w:t>
                  </w:r>
                  <w:r w:rsidRPr="001F5B5C">
                    <w:rPr>
                      <w:rFonts w:ascii="Times New Roman" w:eastAsia="Times New Roman" w:hAnsi="Times New Roman"/>
                      <w:sz w:val="20"/>
                      <w:szCs w:val="20"/>
                    </w:rPr>
                    <w:br/>
                    <w:t xml:space="preserve">3. Chemistry, Virginia Polytechnic Institute and State University, Blacksburg,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Supramolecular polymers are composed of monomeric units held together by noncovalent, reversible interactions, including hydrogen bonding, van der Waals forces, and π-π stacking. Host-guest systems consist of hosts and guest molecules that form complexes through non-covalent interactions. Host-guest systems can be used to effect self-assembly of supramolecular polymers. A monomer may be end-functionalized with two host moieties or two guest moieties (AA-BB, homoditopic system). A monomer may also be end functionalized with both the host and the guest units (AB, or heteroditopic system). To create a self-assembling system capable of yielding high degrees of polymerization (DP), a high association constant (K</w:t>
                  </w:r>
                  <w:r w:rsidRPr="001F5B5C">
                    <w:rPr>
                      <w:rFonts w:ascii="Times New Roman" w:eastAsia="Times New Roman" w:hAnsi="Times New Roman"/>
                      <w:sz w:val="20"/>
                      <w:szCs w:val="20"/>
                      <w:vertAlign w:val="subscript"/>
                    </w:rPr>
                    <w:t>a</w:t>
                  </w:r>
                  <w:r w:rsidRPr="001F5B5C">
                    <w:rPr>
                      <w:rFonts w:ascii="Times New Roman" w:eastAsia="Times New Roman" w:hAnsi="Times New Roman"/>
                      <w:sz w:val="20"/>
                      <w:szCs w:val="20"/>
                    </w:rPr>
                    <w:t>) must exist between the host-guest. Pyridyl cryptands (macrobicyclic, pre-organized crown ethers) are good hosts for paraquat derivative guests as they exhibit high K</w:t>
                  </w:r>
                  <w:r w:rsidRPr="001F5B5C">
                    <w:rPr>
                      <w:rFonts w:ascii="Times New Roman" w:eastAsia="Times New Roman" w:hAnsi="Times New Roman"/>
                      <w:sz w:val="20"/>
                      <w:szCs w:val="20"/>
                      <w:vertAlign w:val="subscript"/>
                    </w:rPr>
                    <w:t>a</w:t>
                  </w:r>
                  <w:r w:rsidRPr="001F5B5C">
                    <w:rPr>
                      <w:rFonts w:ascii="Times New Roman" w:eastAsia="Times New Roman" w:hAnsi="Times New Roman"/>
                      <w:sz w:val="20"/>
                      <w:szCs w:val="20"/>
                    </w:rPr>
                    <w:t xml:space="preserve"> values. The resulting threaded complex is called a pseudorotaxane. Supramolecular polymers can be formed via pseudorotaxane repeat units. The focus of this investigation was to synthesize a heteroditopic AB monomer to yield a self-assembling supramolecular polymer; a polypseudorotaxane. Such supramolecular polymers are expected to exhibit smart properties, such as responding to external stimuli, e.g., pH, temperature, and solvent, as well as self-healing features. In addition to synthesizing the heteroditopic AB monomer in high yields, the mechanical properties of the supramolecular polymer will be studied, contributing to an area that has not received much attention yet.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2359966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Synthesis, and Degradation Studies of Drug-Infused Biologically Compatible Polymers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Alexis Violette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violetteaa@g.cofc.edu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Alexis Violette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Modified polyurethanes are being developed for use as drug delivery platforms. For this study we have formed a series of prepolymers containing the active drug prodrug species and an aliphatic diisocyanate to ensure that the drugs and biologically based polyols are fully dispersed in the polymer, and minimal unreacted drug remains in the polymer matrix. The pre-polymers are then reacted with a difunctional alcohol derived from edible soybean oil derivatives. The diol pre-polymer is produced from the reaction between the carboxylic acid moiety of a drug and a ketal species derived from glycerin. The alcohols allows for the pre-polymer to be incorporated into the polyurethane backbone, while the esters are easily hydrolyzed under physiological conditions to release the drug over time. For the initial trials, ibuprofen has been the target molecule, but this technology is applicable to other drugs. A successful drug delivery material was made from nalidixic acid, a simple antibiotic compound as well as 3</w:t>
                  </w:r>
                  <w:proofErr w:type="gramStart"/>
                  <w:r w:rsidRPr="001F5B5C">
                    <w:rPr>
                      <w:rFonts w:ascii="Times New Roman" w:eastAsia="Times New Roman" w:hAnsi="Times New Roman"/>
                      <w:sz w:val="20"/>
                      <w:szCs w:val="20"/>
                    </w:rPr>
                    <w:t>,4,5</w:t>
                  </w:r>
                  <w:proofErr w:type="gramEnd"/>
                  <w:r w:rsidRPr="001F5B5C">
                    <w:rPr>
                      <w:rFonts w:ascii="Times New Roman" w:eastAsia="Times New Roman" w:hAnsi="Times New Roman"/>
                      <w:sz w:val="20"/>
                      <w:szCs w:val="20"/>
                    </w:rPr>
                    <w:t xml:space="preserve"> trimethoxycinnamic acid (TMCA) and alpha-methyl cinnamic acid (AMCA), two potent chemotherapeutic agents. In addition, trials will be initiated investigating alternative synthetic approaches to form a diol pre-polymer as well as the overall copolymer. Upon exposing these drug delivery materials to physiological media, significant drug release was observed in as little as 20 hours. This year we are exploring new synthetic approaches to these polymeric materials to yield products with varying applications including type of drugs being released, rate of drug release, and overall composition of the material. In addition, long-term degradation studies of these materials are being performed to confirm their safety in biological environments, and the results are being monitored by LC-MS.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2362654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Expedient Access to 1,2-Oxazadecalin Core and Studies Towards 1,2-Oxazadecalin Secondary Metabolites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Jessica Burch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JessPlainCrazy@gmail.com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Jessica E. Burch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Adelphe M. Mfuh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Anh Vo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Oleg Larionov</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Texas at San Antonio, San Antonio,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Trichodermamide A, B, and C are a unique set of natural products which are isolated as secondary metabolites from marine fungus trichoderma virens. They contain a rare 1</w:t>
                  </w:r>
                  <w:proofErr w:type="gramStart"/>
                  <w:r w:rsidRPr="001F5B5C">
                    <w:rPr>
                      <w:rFonts w:ascii="Times New Roman" w:eastAsia="Times New Roman" w:hAnsi="Times New Roman"/>
                      <w:sz w:val="20"/>
                      <w:szCs w:val="20"/>
                    </w:rPr>
                    <w:t>,2</w:t>
                  </w:r>
                  <w:proofErr w:type="gramEnd"/>
                  <w:r w:rsidRPr="001F5B5C">
                    <w:rPr>
                      <w:rFonts w:ascii="Times New Roman" w:eastAsia="Times New Roman" w:hAnsi="Times New Roman"/>
                      <w:sz w:val="20"/>
                      <w:szCs w:val="20"/>
                    </w:rPr>
                    <w:t>-oxazine moiety fused to a densely functionalized cyclohexene scaffold with four contiguous stereocenters. With the exception of trichodermamide A, both B and C show significant antiproliferative activity against HCT 116 with IC</w:t>
                  </w:r>
                  <w:r w:rsidRPr="001F5B5C">
                    <w:rPr>
                      <w:rFonts w:ascii="Times New Roman" w:eastAsia="Times New Roman" w:hAnsi="Times New Roman"/>
                      <w:sz w:val="20"/>
                      <w:szCs w:val="20"/>
                      <w:vertAlign w:val="subscript"/>
                    </w:rPr>
                    <w:t>50</w:t>
                  </w:r>
                  <w:r w:rsidRPr="001F5B5C">
                    <w:rPr>
                      <w:rFonts w:ascii="Times New Roman" w:eastAsia="Times New Roman" w:hAnsi="Times New Roman"/>
                      <w:sz w:val="20"/>
                      <w:szCs w:val="20"/>
                    </w:rPr>
                    <w:t xml:space="preserve"> values of 0.32 and 0.68 mg/mL respectively. Aspergillazines A-E, which </w:t>
                  </w:r>
                  <w:proofErr w:type="gramStart"/>
                  <w:r w:rsidRPr="001F5B5C">
                    <w:rPr>
                      <w:rFonts w:ascii="Times New Roman" w:eastAsia="Times New Roman" w:hAnsi="Times New Roman"/>
                      <w:sz w:val="20"/>
                      <w:szCs w:val="20"/>
                    </w:rPr>
                    <w:t>are</w:t>
                  </w:r>
                  <w:proofErr w:type="gramEnd"/>
                  <w:r w:rsidRPr="001F5B5C">
                    <w:rPr>
                      <w:rFonts w:ascii="Times New Roman" w:eastAsia="Times New Roman" w:hAnsi="Times New Roman"/>
                      <w:sz w:val="20"/>
                      <w:szCs w:val="20"/>
                    </w:rPr>
                    <w:t xml:space="preserve"> structurally related to trichodermamides, are also known to have cytotoxic properties. The isolation of trace amounts of these secondary metabolites from ecologically fragile entities is an obstacle to further studies of these compounds as therapeutic agents. The goal of this project is to develop an expedient route to the synthesis of 1</w:t>
                  </w:r>
                  <w:proofErr w:type="gramStart"/>
                  <w:r w:rsidRPr="001F5B5C">
                    <w:rPr>
                      <w:rFonts w:ascii="Times New Roman" w:eastAsia="Times New Roman" w:hAnsi="Times New Roman"/>
                      <w:sz w:val="20"/>
                      <w:szCs w:val="20"/>
                    </w:rPr>
                    <w:t>,2</w:t>
                  </w:r>
                  <w:proofErr w:type="gramEnd"/>
                  <w:r w:rsidRPr="001F5B5C">
                    <w:rPr>
                      <w:rFonts w:ascii="Times New Roman" w:eastAsia="Times New Roman" w:hAnsi="Times New Roman"/>
                      <w:sz w:val="20"/>
                      <w:szCs w:val="20"/>
                    </w:rPr>
                    <w:t>-oxazadecalin secondary metabolites. Salient features include its overall conciseness, limited chromatography, and employment of protecting group-free strategies.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2366897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Encapsulation of calcein within polymerizable diacetylene vesicles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Ben Mitchell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ben.mitchell2@furman.edu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Ben Mitchell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Timothy W. Hanks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Amphiphile-based vesicles have found use as drug delivery vehicles. Incorporation of the diacetylene moiety in the amphiphile tail permits polymerization upon UV exposure, allowing for dramatic alteration of drug release profiles. Vesicles in the 120 nm range were prepared from 10</w:t>
                  </w:r>
                  <w:proofErr w:type="gramStart"/>
                  <w:r w:rsidRPr="001F5B5C">
                    <w:rPr>
                      <w:rFonts w:ascii="Times New Roman" w:eastAsia="Times New Roman" w:hAnsi="Times New Roman"/>
                      <w:sz w:val="20"/>
                      <w:szCs w:val="20"/>
                    </w:rPr>
                    <w:t>,12</w:t>
                  </w:r>
                  <w:proofErr w:type="gramEnd"/>
                  <w:r w:rsidRPr="001F5B5C">
                    <w:rPr>
                      <w:rFonts w:ascii="Times New Roman" w:eastAsia="Times New Roman" w:hAnsi="Times New Roman"/>
                      <w:sz w:val="20"/>
                      <w:szCs w:val="20"/>
                    </w:rPr>
                    <w:t>-pentacosadiynoic acid in the presence of the fluorophore calcein with the goal of measuring encapsulate release rates. The resulting structures where characterized by dynamic light scattering. However, these failed to assemble appropriately for polymerization at pH level basic enough to solubilize calcein to self-quenching concentrations. Acidification after vesicle formation permitted maintenance of satisfactory calcein concentration within the vesicle, but also failed to produce a polymerizable capsule. In order to address this problem, the alternatives to the carboxylic acid head group have been developed.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2367306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New Gold Carbene Complexes with Potential Catalytic Ability</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Alyssa Romano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aromano2@elon.edu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Alyssa Romano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Department, Elon University, Emmaus, PA,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recent decades, nitrogen acyclic carbene (NAC) gold complexes have become an increasingly important research topic in organometallic chemistry- particularly as potential catalysts. In this research, an amine compound and seven total gold carbenes were synthesized. The NAC gold complexes are new compounds that have never have been reported in the literature thus far. The amine was used in five syntheses. A previously synthesized, different amine was used for the remaining two syntheses. NMR studies, mass spectroscopy and infrared spectroscopy were used to confirm crystal structures of the NAC gold complexes. Although this research focused on the synthesis of new NAC gold complexes, three of these complexes were selected for supplemental catalytic testing as well.</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69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2367333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Using Rational Drug Design to Identify Novel Flavonoid Derivatives as Acetylcholinesterase Inhibitors for the Treatment of Alzheimer's Disease.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Jennifer Minnick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jennifer.minnick34@gmail.com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Jennifer Minnick</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Anna Kranzlein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Chavonda J. Mills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Physics &amp; Astronomy, Georgia College, Milledgeville, GA, United States. </w:t>
                  </w:r>
                  <w:r w:rsidRPr="001F5B5C">
                    <w:rPr>
                      <w:rFonts w:ascii="Times New Roman" w:eastAsia="Times New Roman" w:hAnsi="Times New Roman"/>
                      <w:sz w:val="20"/>
                      <w:szCs w:val="20"/>
                    </w:rPr>
                    <w:br/>
                    <w:t xml:space="preserve">2. Georgia College &amp; State University, Milledgeville,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Research has shown that the neurotransmitter acetylcholine (Ach) is less expressed in the brain of Alzheimer’s patients when compared to normal patient’s levels. It is proposed that this decrease stems from the hydrolysis of Ach by the enzyme acetylcholinesterase. As a result, acetylcholinesterase inhibitors have been identified as a viable option for the treatment of various symptoms associated with cognitive function in patients with Alzheimer’s disease. Flavonoids, natural products that exhibit acetylcholinesterase inhibitory activity, can potentially serve as promising leads for the treatment of Alzheimer’s disease. Through the use of rational drug design, this research project will investigate the design and synthesis of novel flavonoid derivatives that incorporate nitrogen-containing fused heterocyclic rings, which were identified through SAR as crucial structural elements, and test the biological activity of the various derivatives in an effort to propose an effective treatment of Alzheimer’s disease.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2367353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Total synthesis of the natural products hibiscone C and hibiscone B</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Hayden Rudd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hayden.rudd@furman.edu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Hayden Rudd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Brian C. Goess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Pinehurst, NC, United States. </w:t>
                  </w:r>
                  <w:r w:rsidRPr="001F5B5C">
                    <w:rPr>
                      <w:rFonts w:ascii="Times New Roman" w:eastAsia="Times New Roman" w:hAnsi="Times New Roman"/>
                      <w:sz w:val="20"/>
                      <w:szCs w:val="20"/>
                    </w:rPr>
                    <w:br/>
                    <w:t xml:space="preserve">2. Dept of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Hibiscone C is a furanosteroid containing a furan ring with adjacent conjugated carbonyls; this notable structure makes hibiscone C an inhibitor of the enzyme Phosphoinositide 3-kinase (PI3K). PI3K is an enzyme critical in cell growth and differentiation pathways and has been found to have increased levels of activity in cancerous cells. Therefore, the inhibition of PI3K is commonly targeted in chemotherapeutic research. Members of Dr. Brian Goess’s organic synthesis lab have developed a 12 step synthesis of hibiscone C, which is now being used as a starting point for the synthesis of other hibiscone family members. The ultimate goal of synthesizing these natural products is to allow for the biological evaluation of their ability to inhibit PI3K. The basic </w:t>
                  </w:r>
                  <w:proofErr w:type="gramStart"/>
                  <w:r w:rsidRPr="001F5B5C">
                    <w:rPr>
                      <w:rFonts w:ascii="Times New Roman" w:eastAsia="Times New Roman" w:hAnsi="Times New Roman"/>
                      <w:sz w:val="20"/>
                      <w:szCs w:val="20"/>
                    </w:rPr>
                    <w:t>structure of the molecules suggest</w:t>
                  </w:r>
                  <w:proofErr w:type="gramEnd"/>
                  <w:r w:rsidRPr="001F5B5C">
                    <w:rPr>
                      <w:rFonts w:ascii="Times New Roman" w:eastAsia="Times New Roman" w:hAnsi="Times New Roman"/>
                      <w:sz w:val="20"/>
                      <w:szCs w:val="20"/>
                    </w:rPr>
                    <w:t xml:space="preserve"> their potential to inhibit PI3K, while their differences in electron density could lead to differences in selectivity for PI3K inhibition. This summer, our lab developed the first known synthesis of hibiscone B by building off the hibiscone C synthesis. The synthesis is performed through a selective reduction of a hibiscone C carbonyl, followed by a Mitsunobu reaction to achieve the appropriate stereochemistry for hibiscone B. The comparison of the biological evaluations of hibiscone C and B will provide insight into which specific structures are optimal for the inhibition of PI3K.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2367746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Substitution, and Attempted Metalation of a Rigid, Fused Bis-indenyl “Batwing” Ligand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Travis Varner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varnertp@g.cofc.edu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Travis Varner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Carson Reed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Justin K. Wyatt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Richard Himes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novel, fused bis-indenyl “batwing” molecule has been designed and synthesized as a ligand for a dinuclear titanium polymerization catalyst. New generation dinuclear complexes—which incorporate two metal atoms per catalyst—have recently demonstrated polymerization capabilities that vary from those of their mononuclear counterparts: higher activity, greater molecular weight and uniformity of tacticity, as well as enhanced comonomer incorporation into the polymer product. That last property is potentially advantageous for producing various block polymers, which are desirable as materials with new properties. To date, many dinuclear catalysts have employed flexible ligands capable of free rotation. The fused bis-indenyl ligand we have pursued provides an extraordinarily rigid scaffold for a dinuclear titanium polymerization catalyst (see figure). This molecule will be discussed in terms of its synthesis, stability, reactivity, and ability to be complexed to metal centers; additionally, studies intended to determine the effect of the ligand’s rigidity on polymerization and copolymer formation will be introduced.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2368436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Synthesis and Isolation of 5,6,7-Trimethoxy Indoles for the Creation of Novel Combretastatin Derivatives Linked at the 3-Position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teresa rocha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trocha@unca.edu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teresa rocha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Herman Holt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CPO 2010, UNC Asheville, Asheville,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Indoles are common molecules found throughout nature that show to have highly active and diverse pharmacophoric properties. Here we propose the melding of CA4 with an indole by replacing the benzene ring that CA4’s trimethoxy moiety typically resides on with an indole ring, by positioning the indole with the alkene bridge bound at its 3-position (a commonly occurring position in nature). Due to the high cost of 5</w:t>
                  </w:r>
                  <w:proofErr w:type="gramStart"/>
                  <w:r w:rsidRPr="001F5B5C">
                    <w:rPr>
                      <w:rFonts w:ascii="Times New Roman" w:eastAsia="Times New Roman" w:hAnsi="Times New Roman"/>
                      <w:sz w:val="20"/>
                      <w:szCs w:val="20"/>
                    </w:rPr>
                    <w:t>,6,7</w:t>
                  </w:r>
                  <w:proofErr w:type="gramEnd"/>
                  <w:r w:rsidRPr="001F5B5C">
                    <w:rPr>
                      <w:rFonts w:ascii="Times New Roman" w:eastAsia="Times New Roman" w:hAnsi="Times New Roman"/>
                      <w:sz w:val="20"/>
                      <w:szCs w:val="20"/>
                    </w:rPr>
                    <w:t>-trimethoxy indole, one has been synthesized. Synthesis of the trimethoxy indole was done by utilizing Hemetsberger-Knittel indole methodology to make an indole ester. A saponification reaction was then performed converting the ester into a carboxylic acid and subsequent decarboxylation was attempted in two ways (refluxing in copper and quinoline and thermolysis) with the greatest yield being obtained of through thermolysis. Bromination at the indole’s 3-position will allow for the coupling between the indole and other aromatic ring systems that will correspond to that of CA4’s. Tuning of the resulting alkyne to an alkene or other heterocycles will provide CA4 derivatives worthy of bioactivity exploration.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2369533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Scope Expansion of the Winstein-Masamune Reaction: Tsuji-Trost Variant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Lorenzo Spencer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Lorenzo.spencer@eagles.usm.edu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Lorenzo Spencer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Matthew Donahue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Biochemistry, University of Southern Mississippi, Hattiesburg,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i/>
                      <w:iCs/>
                      <w:sz w:val="20"/>
                      <w:szCs w:val="20"/>
                    </w:rPr>
                    <w:t xml:space="preserve">In this talk we will discuss our ongoing efforts to expand the scope of the Tsuji-Trost variant of the Winstein-Masamune reaction. The intramolecular para-alkylation of a phenol derivative is a convenient method to synthesize a </w:t>
                  </w:r>
                  <w:proofErr w:type="gramStart"/>
                  <w:r w:rsidRPr="001F5B5C">
                    <w:rPr>
                      <w:rFonts w:ascii="Times New Roman" w:eastAsia="Times New Roman" w:hAnsi="Times New Roman"/>
                      <w:i/>
                      <w:iCs/>
                      <w:sz w:val="20"/>
                      <w:szCs w:val="20"/>
                    </w:rPr>
                    <w:t>spiro[</w:t>
                  </w:r>
                  <w:proofErr w:type="gramEnd"/>
                  <w:r w:rsidRPr="001F5B5C">
                    <w:rPr>
                      <w:rFonts w:ascii="Times New Roman" w:eastAsia="Times New Roman" w:hAnsi="Times New Roman"/>
                      <w:i/>
                      <w:iCs/>
                      <w:sz w:val="20"/>
                      <w:szCs w:val="20"/>
                    </w:rPr>
                    <w:t>4.5]deca-6,9-dien-8-one. The incorporation of an allylic carbonate as the electrophile in the alkylation affords a spirocycle with a pendant alkene. Recent efforts by the Hamada and You groups have employed palladium and iridium with enantiopure ligands to render the reaction asymmetric. We have become interested in this reaction en route to the Lycopodium alkaloid magellanine. Toward this aim, we have begun to screen bifunctional organocatalysts of with different chiral motifs in effort to avoid using a transition metal. We will present our findings employing the effect priveleged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2302560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Statistical analysis of tobacco for country of origin via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H-NMR and multivariate component analysis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Desury Paredes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desuryparedes@gmail.com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Desury L. Paredes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Cory McCleave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Jeffrey A. Bjorklund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Nancy L. Peterson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North Central College, Naperville, IL, United States. </w:t>
                  </w:r>
                  <w:r w:rsidRPr="001F5B5C">
                    <w:rPr>
                      <w:rFonts w:ascii="Times New Roman" w:eastAsia="Times New Roman" w:hAnsi="Times New Roman"/>
                      <w:sz w:val="20"/>
                      <w:szCs w:val="20"/>
                    </w:rPr>
                    <w:br/>
                    <w:t xml:space="preserve">2. Chemistry, North Central College, Naperville, IL,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chemical makeup of tobacco plants are known to vary according to weather, seed and soil variety, the treatments they are exposed to, and other contributing variables. Given the variables, the country where tobacco is grown influences the composition of tobaccos due to the effects of geographical location. The country affects the plant due to its geographical location, and the location’s contributing factors, including soil composition, climate, farming environment, etc. This research focuses on comparing cigar extracts from the Dominican Republic, Nicaragua, and Honduras for statistical difference via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H-Nuclear Magnetic Resonance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H-NMR). The ability to determine the country of origin of a cigar via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H-NMR can aid the development of cigars by determining the chemical composition and possibly aiding the development of new flavors, creating environment-friendly treatments, and even reducing the health-risks of tobacco inhalation/chewing. Using Principle Component Analysis (PCA) of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H-NMR spectra, chemical differences between </w:t>
                  </w:r>
                  <w:proofErr w:type="gramStart"/>
                  <w:r w:rsidRPr="001F5B5C">
                    <w:rPr>
                      <w:rFonts w:ascii="Times New Roman" w:eastAsia="Times New Roman" w:hAnsi="Times New Roman"/>
                      <w:sz w:val="20"/>
                      <w:szCs w:val="20"/>
                    </w:rPr>
                    <w:t>tobacco</w:t>
                  </w:r>
                  <w:proofErr w:type="gramEnd"/>
                  <w:r w:rsidRPr="001F5B5C">
                    <w:rPr>
                      <w:rFonts w:ascii="Times New Roman" w:eastAsia="Times New Roman" w:hAnsi="Times New Roman"/>
                      <w:sz w:val="20"/>
                      <w:szCs w:val="20"/>
                    </w:rPr>
                    <w:t xml:space="preserve"> leaves can be determined which can lead to a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H-NMR-based method to detect the country of origin of tobacco products. Using spectroscopy, the composition of each cigar can be analyzed for variations within and between the tobacco samples from different countries by a statistical comparison of the spectra. We hypothesize that tobacco from different countries will group separately from each other on a PCA plot due to their individual statistical variation in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H-NMR spectra. The data gathered show that with this method, Nicaraguan tobacco can be statistically differentiated from the tobaccos of the Dominican Republic and Honduras, but the tobaccos from the Dominican Republic and Honduras cannot be differentiated from one another. Additionally, tobaccos from the Dominican Republic and Honduras had a statistically significant variation within themselves. Tobacco from Nicaragua has a noticeable statistical difference from the other two countries analyzed which may be due to its environmental factors, such as the richness of the soil and the weather of the country, which are not similar to those in the Dominican Republic nor Honduras.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2305723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Silver(I)-promoted regioselective oxidative aryl−aryl cross-coupling resulting in a direct C-H activation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 xml:space="preserve">Sololiya Berkessa | Kyle Jeansonne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Sololiya.Berkessa@selu.edu | Kyle.Jeansonne@selu.edu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Sololiya C. Berkessa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Kyle A. Jeansonne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Jean Fotie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Southeastern Louisiana University, Hammond,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Aryl-aryl coupling or cross-coupling resulting in the formation of a new C-C bond through a direct C-H activation are of particular interest due to the prevalence of biaryl building blocks in several biologically active molecules, and in functional materials such as light-emitting diodes, electron transport devices, and liquid crystals. A </w:t>
                  </w:r>
                  <w:proofErr w:type="gramStart"/>
                  <w:r w:rsidRPr="001F5B5C">
                    <w:rPr>
                      <w:rFonts w:ascii="Times New Roman" w:eastAsia="Times New Roman" w:hAnsi="Times New Roman"/>
                      <w:sz w:val="20"/>
                      <w:szCs w:val="20"/>
                    </w:rPr>
                    <w:t>silver(</w:t>
                  </w:r>
                  <w:proofErr w:type="gramEnd"/>
                  <w:r w:rsidRPr="001F5B5C">
                    <w:rPr>
                      <w:rFonts w:ascii="Times New Roman" w:eastAsia="Times New Roman" w:hAnsi="Times New Roman"/>
                      <w:sz w:val="20"/>
                      <w:szCs w:val="20"/>
                    </w:rPr>
                    <w:t>I)-promoted regioselective cross-coupling between phenols and aniline derivatives resulting in the formation of a new C-C bond through a direct C-H activation has been developed. The reaction involves the use of a large range of oxidizing agents, under mild conditions, resulting exclusive in the formation of a 2'-aminobiphenyl-2-ol derivatives in a quantitative yield. The optimization of the reaction conditions and the expansion of the scope of the reaction are discussed.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2318311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Model studies of the synthesis of the 2-(5</w:t>
                  </w:r>
                  <w:r w:rsidRPr="001F5B5C">
                    <w:rPr>
                      <w:rFonts w:ascii="Times New Roman" w:eastAsia="Times New Roman" w:hAnsi="Times New Roman"/>
                      <w:i/>
                      <w:iCs/>
                      <w:sz w:val="20"/>
                      <w:szCs w:val="20"/>
                    </w:rPr>
                    <w:t>H</w:t>
                  </w:r>
                  <w:r w:rsidRPr="001F5B5C">
                    <w:rPr>
                      <w:rFonts w:ascii="Times New Roman" w:eastAsia="Times New Roman" w:hAnsi="Times New Roman"/>
                      <w:sz w:val="20"/>
                      <w:szCs w:val="20"/>
                    </w:rPr>
                    <w:t>)-furanone moiety of myrtoidine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Junyi Liu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liujunyi2@gmail.com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Junyi Liu</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Eric Andreansky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Simon Blakey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Emory University, Atlanta, GA, United States. </w:t>
                  </w:r>
                  <w:r w:rsidRPr="001F5B5C">
                    <w:rPr>
                      <w:rFonts w:ascii="Times New Roman" w:eastAsia="Times New Roman" w:hAnsi="Times New Roman"/>
                      <w:sz w:val="20"/>
                      <w:szCs w:val="20"/>
                    </w:rPr>
                    <w:br/>
                    <w:t xml:space="preserve">2. College of Arts and Sciences, Emory University,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Malagasy alkaloids extracted from </w:t>
                  </w:r>
                  <w:r w:rsidRPr="001F5B5C">
                    <w:rPr>
                      <w:rFonts w:ascii="Times New Roman" w:eastAsia="Times New Roman" w:hAnsi="Times New Roman"/>
                      <w:i/>
                      <w:iCs/>
                      <w:sz w:val="20"/>
                      <w:szCs w:val="20"/>
                    </w:rPr>
                    <w:t>Strychnos myrtoides</w:t>
                  </w:r>
                  <w:r w:rsidRPr="001F5B5C">
                    <w:rPr>
                      <w:rFonts w:ascii="Times New Roman" w:eastAsia="Times New Roman" w:hAnsi="Times New Roman"/>
                      <w:sz w:val="20"/>
                      <w:szCs w:val="20"/>
                    </w:rPr>
                    <w:t xml:space="preserve"> have shown potential antimalarial activity. A total synthesis of the Malagasy alkaloid malagashinine has recently been completed in our lab, and we hypothesize that we would be able to potentially access the analogous alkaloid myrtoidine by a common synthetic intermediate. Synthesis of myrtoidine requires the development of a synthetic method that provides access to a crucial 2-(5</w:t>
                  </w:r>
                  <w:r w:rsidRPr="001F5B5C">
                    <w:rPr>
                      <w:rFonts w:ascii="Times New Roman" w:eastAsia="Times New Roman" w:hAnsi="Times New Roman"/>
                      <w:i/>
                      <w:iCs/>
                      <w:sz w:val="20"/>
                      <w:szCs w:val="20"/>
                    </w:rPr>
                    <w:t>H</w:t>
                  </w:r>
                  <w:r w:rsidRPr="001F5B5C">
                    <w:rPr>
                      <w:rFonts w:ascii="Times New Roman" w:eastAsia="Times New Roman" w:hAnsi="Times New Roman"/>
                      <w:sz w:val="20"/>
                      <w:szCs w:val="20"/>
                    </w:rPr>
                    <w:t>)-furanone moiety. Initially, we wished to explore a strategy involving vinylic C-H halogenation at the 6-position in a 3</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-dihydro-2</w:t>
                  </w:r>
                  <w:r w:rsidRPr="001F5B5C">
                    <w:rPr>
                      <w:rFonts w:ascii="Times New Roman" w:eastAsia="Times New Roman" w:hAnsi="Times New Roman"/>
                      <w:i/>
                      <w:iCs/>
                      <w:sz w:val="20"/>
                      <w:szCs w:val="20"/>
                    </w:rPr>
                    <w:t>H</w:t>
                  </w:r>
                  <w:r w:rsidRPr="001F5B5C">
                    <w:rPr>
                      <w:rFonts w:ascii="Times New Roman" w:eastAsia="Times New Roman" w:hAnsi="Times New Roman"/>
                      <w:sz w:val="20"/>
                      <w:szCs w:val="20"/>
                    </w:rPr>
                    <w:t>-pyran model. Using [RhCp*(MeCN)</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](SbF</w:t>
                  </w:r>
                  <w:r w:rsidRPr="001F5B5C">
                    <w:rPr>
                      <w:rFonts w:ascii="Times New Roman" w:eastAsia="Times New Roman" w:hAnsi="Times New Roman"/>
                      <w:sz w:val="20"/>
                      <w:szCs w:val="20"/>
                      <w:vertAlign w:val="subscript"/>
                    </w:rPr>
                    <w:t>6</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as a catalyst, various iodination, bromination, and chlorination conditions were explored using carboxylic acids or carboxamides as directing groups; however, no desired products could be efficiently isolated due to undesired background reactivity of the halogenation reagents with our substrate. Currently we are exploring possible 6-lithiation of our 3</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-dihydro-2</w:t>
                  </w:r>
                  <w:r w:rsidRPr="001F5B5C">
                    <w:rPr>
                      <w:rFonts w:ascii="Times New Roman" w:eastAsia="Times New Roman" w:hAnsi="Times New Roman"/>
                      <w:i/>
                      <w:iCs/>
                      <w:sz w:val="20"/>
                      <w:szCs w:val="20"/>
                    </w:rPr>
                    <w:t>H</w:t>
                  </w:r>
                  <w:r w:rsidRPr="001F5B5C">
                    <w:rPr>
                      <w:rFonts w:ascii="Times New Roman" w:eastAsia="Times New Roman" w:hAnsi="Times New Roman"/>
                      <w:sz w:val="20"/>
                      <w:szCs w:val="20"/>
                    </w:rPr>
                    <w:t>-pyran-5-carboxylic acid model as a possible method for functionalization at this position.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2329457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Indolizine-squaraine NIR fluorescent materials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Tana Rill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tarill@go.olemiss.edu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Tana Rill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Louis E. McNamara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Aron Huckaba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Emily A. Sharpe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Nathan Hammer</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Jared H. Delcamp</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Chemical Engineering, University of Mississippi, Oxford, MS, United States. </w:t>
                  </w:r>
                  <w:r w:rsidRPr="001F5B5C">
                    <w:rPr>
                      <w:rFonts w:ascii="Times New Roman" w:eastAsia="Times New Roman" w:hAnsi="Times New Roman"/>
                      <w:sz w:val="20"/>
                      <w:szCs w:val="20"/>
                    </w:rPr>
                    <w:br/>
                    <w:t xml:space="preserve">2. Chemistry, University of Mississippi, University, MS, United States. </w:t>
                  </w:r>
                  <w:r w:rsidRPr="001F5B5C">
                    <w:rPr>
                      <w:rFonts w:ascii="Times New Roman" w:eastAsia="Times New Roman" w:hAnsi="Times New Roman"/>
                      <w:sz w:val="20"/>
                      <w:szCs w:val="20"/>
                    </w:rPr>
                    <w:br/>
                    <w:t xml:space="preserve">3. Chemistry and Biochemistry, University of Mississippi, University,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Near-infrared (NIR) emissive organic materials are an emerging area of study with an array of applications for both military and civilian purposes including night vision technologies, secure communications, surveillance, homing, fluoresence imaging, secure displays as NIR OLED materials, heat-blocking coatings, in vivo fluoresence biological imagaing, and additional optoelectronics device applications.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We have developed a series of organic NIR emissive materials based on an indolizine donor and squaraine acceptor. The novel-to-squaraine donor, indolizine, exhibits a remarkable increase in absorption maximum wavelength when compared with benchmark indoline-based squaraine dyes (700 nm vs. 625 nm) with molar absorptivities ranging from 70,000-100,000 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cm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Emission is observed at 800 nm in chloroform, corresponding to </w:t>
                  </w:r>
                  <w:proofErr w:type="gramStart"/>
                  <w:r w:rsidRPr="001F5B5C">
                    <w:rPr>
                      <w:rFonts w:ascii="Times New Roman" w:eastAsia="Times New Roman" w:hAnsi="Times New Roman"/>
                      <w:sz w:val="20"/>
                      <w:szCs w:val="20"/>
                    </w:rPr>
                    <w:t>a stokes</w:t>
                  </w:r>
                  <w:proofErr w:type="gramEnd"/>
                  <w:r w:rsidRPr="001F5B5C">
                    <w:rPr>
                      <w:rFonts w:ascii="Times New Roman" w:eastAsia="Times New Roman" w:hAnsi="Times New Roman"/>
                      <w:sz w:val="20"/>
                      <w:szCs w:val="20"/>
                    </w:rPr>
                    <w:t xml:space="preserve"> shift of 100 nm, which is a substantial increase when compared with the 5 nm stokes shift commonly observed for indoline-squaraine dyes. Our molecular design was evaluated by computational analysis which reveals clues about the origin of this stokes shift and the water solubility observed for these compounds without appending water solubilizing groups.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2350643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Divergent synthesis of novel 3-α- and 3-β-</w:t>
                  </w:r>
                  <w:r w:rsidRPr="001F5B5C">
                    <w:rPr>
                      <w:rFonts w:ascii="Times New Roman" w:eastAsia="Times New Roman" w:hAnsi="Times New Roman"/>
                      <w:i/>
                      <w:iCs/>
                      <w:sz w:val="20"/>
                      <w:szCs w:val="20"/>
                    </w:rPr>
                    <w:t>C</w:t>
                  </w:r>
                  <w:r w:rsidRPr="001F5B5C">
                    <w:rPr>
                      <w:rFonts w:ascii="Times New Roman" w:eastAsia="Times New Roman" w:hAnsi="Times New Roman"/>
                      <w:sz w:val="20"/>
                      <w:szCs w:val="20"/>
                    </w:rPr>
                    <w:t>-functionalized ribose derivatives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Joshua Carter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jacarter@presby.edu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Joshua Carter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Blair Weaver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Maria Chiacchio</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Will E. Lynch</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Brent D. Feske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Giuseppe Gumina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Presbyterian College School of Pharmacy, Clinton, SC, United States. </w:t>
                  </w:r>
                  <w:r w:rsidRPr="001F5B5C">
                    <w:rPr>
                      <w:rFonts w:ascii="Times New Roman" w:eastAsia="Times New Roman" w:hAnsi="Times New Roman"/>
                      <w:sz w:val="20"/>
                      <w:szCs w:val="20"/>
                    </w:rPr>
                    <w:br/>
                    <w:t xml:space="preserve">2. Armstrong State University, Savannah, GA, United States. </w:t>
                  </w:r>
                  <w:r w:rsidRPr="001F5B5C">
                    <w:rPr>
                      <w:rFonts w:ascii="Times New Roman" w:eastAsia="Times New Roman" w:hAnsi="Times New Roman"/>
                      <w:sz w:val="20"/>
                      <w:szCs w:val="20"/>
                    </w:rPr>
                    <w:br/>
                    <w:t xml:space="preserve">3. University of Catania, Catania, Italy.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Carbohydrates are extensively used as templates for the stereoselective synthesis of chiral molecules. In order to simultaneously access both epimers of 3-</w:t>
                  </w:r>
                  <w:r w:rsidRPr="001F5B5C">
                    <w:rPr>
                      <w:rFonts w:ascii="Times New Roman" w:eastAsia="Times New Roman" w:hAnsi="Times New Roman"/>
                      <w:i/>
                      <w:iCs/>
                      <w:sz w:val="20"/>
                      <w:szCs w:val="20"/>
                    </w:rPr>
                    <w:t>C</w:t>
                  </w:r>
                  <w:r w:rsidRPr="001F5B5C">
                    <w:rPr>
                      <w:rFonts w:ascii="Times New Roman" w:eastAsia="Times New Roman" w:hAnsi="Times New Roman"/>
                      <w:sz w:val="20"/>
                      <w:szCs w:val="20"/>
                    </w:rPr>
                    <w:t xml:space="preserve">-functionalized 3-deoxyribose synthons, we devised a divergent synthesis of </w:t>
                  </w:r>
                  <w:r w:rsidRPr="001F5B5C">
                    <w:rPr>
                      <w:rFonts w:ascii="Times New Roman" w:eastAsia="Times New Roman" w:hAnsi="Times New Roman"/>
                      <w:i/>
                      <w:iCs/>
                      <w:sz w:val="20"/>
                      <w:szCs w:val="20"/>
                    </w:rPr>
                    <w:t>tert</w:t>
                  </w:r>
                  <w:r w:rsidRPr="001F5B5C">
                    <w:rPr>
                      <w:rFonts w:ascii="Times New Roman" w:eastAsia="Times New Roman" w:hAnsi="Times New Roman"/>
                      <w:sz w:val="20"/>
                      <w:szCs w:val="20"/>
                    </w:rPr>
                    <w:t>-</w:t>
                  </w:r>
                  <w:proofErr w:type="gramStart"/>
                  <w:r w:rsidRPr="001F5B5C">
                    <w:rPr>
                      <w:rFonts w:ascii="Times New Roman" w:eastAsia="Times New Roman" w:hAnsi="Times New Roman"/>
                      <w:sz w:val="20"/>
                      <w:szCs w:val="20"/>
                    </w:rPr>
                    <w:t>butyl(</w:t>
                  </w:r>
                  <w:proofErr w:type="gramEnd"/>
                  <w:r w:rsidRPr="001F5B5C">
                    <w:rPr>
                      <w:rFonts w:ascii="Times New Roman" w:eastAsia="Times New Roman" w:hAnsi="Times New Roman"/>
                      <w:sz w:val="20"/>
                      <w:szCs w:val="20"/>
                    </w:rPr>
                    <w:t xml:space="preserve">diphenyl)silyl-protected 3-deoxy-3-α-methoxycarbonylmethyl-D-ribose </w:t>
                  </w:r>
                  <w:r w:rsidRPr="001F5B5C">
                    <w:rPr>
                      <w:rFonts w:ascii="Times New Roman" w:eastAsia="Times New Roman" w:hAnsi="Times New Roman"/>
                      <w:b/>
                      <w:bCs/>
                      <w:sz w:val="20"/>
                      <w:szCs w:val="20"/>
                    </w:rPr>
                    <w:t>4</w:t>
                  </w:r>
                  <w:r w:rsidRPr="001F5B5C">
                    <w:rPr>
                      <w:rFonts w:ascii="Times New Roman" w:eastAsia="Times New Roman" w:hAnsi="Times New Roman"/>
                      <w:sz w:val="20"/>
                      <w:szCs w:val="20"/>
                    </w:rPr>
                    <w:t xml:space="preserve"> and 3’-β-methoxycarbonylmethyl-D-ribose </w:t>
                  </w:r>
                  <w:r w:rsidRPr="001F5B5C">
                    <w:rPr>
                      <w:rFonts w:ascii="Times New Roman" w:eastAsia="Times New Roman" w:hAnsi="Times New Roman"/>
                      <w:b/>
                      <w:bCs/>
                      <w:sz w:val="20"/>
                      <w:szCs w:val="20"/>
                    </w:rPr>
                    <w:t>5</w:t>
                  </w:r>
                  <w:r w:rsidRPr="001F5B5C">
                    <w:rPr>
                      <w:rFonts w:ascii="Times New Roman" w:eastAsia="Times New Roman" w:hAnsi="Times New Roman"/>
                      <w:sz w:val="20"/>
                      <w:szCs w:val="20"/>
                    </w:rPr>
                    <w:t>. The title compounds were stereoselectively synthesized from D-xylose in 5 steps and 54 and 22% overall yield, respectively. The key steps of our synthetic procedure were a regioselective Horner–Wadsworth–Emmons olefination followed by a face-specific, regioselective hydrogenation.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0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2353138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Lewis acid-catalyzed Minisci reactions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Joyce Biaco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biacojl@g.cofc.edu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Joyce L. Biaco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Savannah L. Jones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Timothy J. Barker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Lewis acid and </w:t>
                  </w:r>
                  <w:proofErr w:type="gramStart"/>
                  <w:r w:rsidRPr="001F5B5C">
                    <w:rPr>
                      <w:rFonts w:ascii="Times New Roman" w:eastAsia="Times New Roman" w:hAnsi="Times New Roman"/>
                      <w:sz w:val="20"/>
                      <w:szCs w:val="20"/>
                    </w:rPr>
                    <w:t>silver(</w:t>
                  </w:r>
                  <w:proofErr w:type="gramEnd"/>
                  <w:r w:rsidRPr="001F5B5C">
                    <w:rPr>
                      <w:rFonts w:ascii="Times New Roman" w:eastAsia="Times New Roman" w:hAnsi="Times New Roman"/>
                      <w:sz w:val="20"/>
                      <w:szCs w:val="20"/>
                    </w:rPr>
                    <w:t>I) catalysts were together employed in Minisci reactions between phenylboronic acid and various heterocycles. Different silver salts were examined determine if silver could function as both the Lewis acid and radical initiator. It was demonstrated that heterocycles containing electron-withdrawing groups provided the highest yields of the aryl-heterocycle coupled product.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2353678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Exploring amino acid-derived scaffolds to construct “smart” therapeutics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Scott Grady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sg173@evansville.edu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Scott F. Grady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Humza M. Khan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Andrew J. Lampkins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University of Evansville, Evansville, IN,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We are presently developing synthetic technology that allows for the rapid, efficient creation of “smart” therapeutics—a novel class of molecules that contain a targeting group, fluorescent tag, and drug all covalently linked to a central scaffold. Such agents would provide a flexible means to (a) localize desired tissue for treatment, (b) specifically deliver a drug to the intended site, reducing off-target side effects, and (c) monitor therapy in real time. We believe the linchpin in our synthetic endeavors is the development of an amino acid-derived central scaffold ideally suited in regard to structure (i.e., steric size of the “R” group), chirality, and orthogonal reactivity. As such, this poster will highlight the creation of multiple scaffold candidates and linker molecules, as well as a thorough assessment of their subsequent bioconjugation to the desired cargo units.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2353732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Advances in the development of druggable β-secretase inhibitor prodrugs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Amanda Feagans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af154@evansville.edu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Amanda C. Feagans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Andrew J. Lampkins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University of Evansville, Evansville, IN,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continued development of a novel class of drug candidates to combat Alzheimer’s disease, central nervous system permeable β-secretase inhibitors, has been enabled by recent synthetic advances made in our laboratories. This poster will outline 1. </w:t>
                  </w:r>
                  <w:proofErr w:type="gramStart"/>
                  <w:r w:rsidRPr="001F5B5C">
                    <w:rPr>
                      <w:rFonts w:ascii="Times New Roman" w:eastAsia="Times New Roman" w:hAnsi="Times New Roman"/>
                      <w:sz w:val="20"/>
                      <w:szCs w:val="20"/>
                    </w:rPr>
                    <w:t>key</w:t>
                  </w:r>
                  <w:proofErr w:type="gramEnd"/>
                  <w:r w:rsidRPr="001F5B5C">
                    <w:rPr>
                      <w:rFonts w:ascii="Times New Roman" w:eastAsia="Times New Roman" w:hAnsi="Times New Roman"/>
                      <w:sz w:val="20"/>
                      <w:szCs w:val="20"/>
                    </w:rPr>
                    <w:t xml:space="preserve"> elements in the design of potent, druggable inhibitors of this enzyme, 2. </w:t>
                  </w:r>
                  <w:proofErr w:type="gramStart"/>
                  <w:r w:rsidRPr="001F5B5C">
                    <w:rPr>
                      <w:rFonts w:ascii="Times New Roman" w:eastAsia="Times New Roman" w:hAnsi="Times New Roman"/>
                      <w:sz w:val="20"/>
                      <w:szCs w:val="20"/>
                    </w:rPr>
                    <w:t>our</w:t>
                  </w:r>
                  <w:proofErr w:type="gramEnd"/>
                  <w:r w:rsidRPr="001F5B5C">
                    <w:rPr>
                      <w:rFonts w:ascii="Times New Roman" w:eastAsia="Times New Roman" w:hAnsi="Times New Roman"/>
                      <w:sz w:val="20"/>
                      <w:szCs w:val="20"/>
                    </w:rPr>
                    <w:t xml:space="preserve"> newly developed lactonization reaction and its impact on the overall yield and diastereoselectivity of our synthetic routes, 3. </w:t>
                  </w:r>
                  <w:proofErr w:type="gramStart"/>
                  <w:r w:rsidRPr="001F5B5C">
                    <w:rPr>
                      <w:rFonts w:ascii="Times New Roman" w:eastAsia="Times New Roman" w:hAnsi="Times New Roman"/>
                      <w:sz w:val="20"/>
                      <w:szCs w:val="20"/>
                    </w:rPr>
                    <w:t>docking</w:t>
                  </w:r>
                  <w:proofErr w:type="gramEnd"/>
                  <w:r w:rsidRPr="001F5B5C">
                    <w:rPr>
                      <w:rFonts w:ascii="Times New Roman" w:eastAsia="Times New Roman" w:hAnsi="Times New Roman"/>
                      <w:sz w:val="20"/>
                      <w:szCs w:val="20"/>
                    </w:rPr>
                    <w:t xml:space="preserve"> and structure/activity relationship data for this novel drug class obtained via in silico analysis, and 4. </w:t>
                  </w:r>
                  <w:proofErr w:type="gramStart"/>
                  <w:r w:rsidRPr="001F5B5C">
                    <w:rPr>
                      <w:rFonts w:ascii="Times New Roman" w:eastAsia="Times New Roman" w:hAnsi="Times New Roman"/>
                      <w:sz w:val="20"/>
                      <w:szCs w:val="20"/>
                    </w:rPr>
                    <w:t>the</w:t>
                  </w:r>
                  <w:proofErr w:type="gramEnd"/>
                  <w:r w:rsidRPr="001F5B5C">
                    <w:rPr>
                      <w:rFonts w:ascii="Times New Roman" w:eastAsia="Times New Roman" w:hAnsi="Times New Roman"/>
                      <w:sz w:val="20"/>
                      <w:szCs w:val="20"/>
                    </w:rPr>
                    <w:t xml:space="preserve"> results of in vitro metabolism studies (performed using human plasma and liver microsomes) to assess the bioavailability of our synthesized drug candidates.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2354232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Novel aromatic bridging ligands as nanoparticle colloid stabilizing agents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Taylor Gravolet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taylor.r.gravolet@email.shc.edu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Taylor Gravolet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RAJESH KOMATI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Galina Goloverda</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Vladimir L. Kolesnichenko</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Spring Hill College, New Orleans, LA, United States. </w:t>
                  </w:r>
                  <w:r w:rsidRPr="001F5B5C">
                    <w:rPr>
                      <w:rFonts w:ascii="Times New Roman" w:eastAsia="Times New Roman" w:hAnsi="Times New Roman"/>
                      <w:sz w:val="20"/>
                      <w:szCs w:val="20"/>
                    </w:rPr>
                    <w:br/>
                    <w:t xml:space="preserve">2. UNIVERSITY OF NEW ORLEANS, New Orleans, LA, United States. </w:t>
                  </w:r>
                  <w:r w:rsidRPr="001F5B5C">
                    <w:rPr>
                      <w:rFonts w:ascii="Times New Roman" w:eastAsia="Times New Roman" w:hAnsi="Times New Roman"/>
                      <w:sz w:val="20"/>
                      <w:szCs w:val="20"/>
                    </w:rPr>
                    <w:br/>
                    <w:t xml:space="preserve">3. Chemistry Dept, Xavier University, New Orleans, LA, United States. </w:t>
                  </w:r>
                  <w:r w:rsidRPr="001F5B5C">
                    <w:rPr>
                      <w:rFonts w:ascii="Times New Roman" w:eastAsia="Times New Roman" w:hAnsi="Times New Roman"/>
                      <w:sz w:val="20"/>
                      <w:szCs w:val="20"/>
                    </w:rPr>
                    <w:br/>
                    <w:t xml:space="preserve">4. Xavier University, New Orleans,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Iron oxide nanoparticles are being studied for a variety of biomedical applications such as possible carriers for targeted drug delivery and as a contrasting agent for MRI imaging. The use of iron oxide nanoparticles will require several components to ensure effectiveness in the body. One component required is the binding of the iron oxide nanoparticles to a biological molecule by a linker ligand to improve interaction with the biological makeup. 2</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-dihydroxyisophthalic acid was chosen to be synthesized as a possible linker ligand because it possesses multiple coordination sites for the nanoparticles. 2</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-Dihydroxybenzoic acid was coupled with allyl bromide to produce 5-allyloxy salicylic acid with an average percent yield of 66.5%. This product was then formylated with hexamethylenetetramine to produce 3-formyl-5-prop-2-enoxysalicylic acid with an average percent yield of 62.3%. Oxidation of the product produced 5-alkoxy-2-hydroxyisophthalic acid with a percent yield of 68.7%. The alkoxy tail was then cleaved to produce 2</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-dihydroxyisophthalic acid. The acid was then recrystalized from water to improve purity. The structures of the products were confirmed by H1 NMR. Moving forward, the addition of various substituents at the 5-hydroxy position on the acid is being optimized for bioconjugation. The pka values of 2</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-dihydroxyisophthalic acid will be determined as they are not currently reported.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2355845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Design and synthesis of a cyclic citryl-ornithine analog as a novel inhibitor for Staphyloferrin A biosynthesis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Austin West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atwest@bsc.edu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Austin West</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Kelly Craft</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Stephanie Gore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William Kittleman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J. Schedler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Millersville University, Millersville, PA, United States. </w:t>
                  </w:r>
                  <w:r w:rsidRPr="001F5B5C">
                    <w:rPr>
                      <w:rFonts w:ascii="Times New Roman" w:eastAsia="Times New Roman" w:hAnsi="Times New Roman"/>
                      <w:sz w:val="20"/>
                      <w:szCs w:val="20"/>
                    </w:rPr>
                    <w:br/>
                    <w:t xml:space="preserve">2. Birmingham-Southern College, Birmingham,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i/>
                      <w:iCs/>
                      <w:sz w:val="20"/>
                      <w:szCs w:val="20"/>
                    </w:rPr>
                    <w:t>Staphylococcus aureus</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S. aureus</w:t>
                  </w:r>
                  <w:r w:rsidRPr="001F5B5C">
                    <w:rPr>
                      <w:rFonts w:ascii="Times New Roman" w:eastAsia="Times New Roman" w:hAnsi="Times New Roman"/>
                      <w:sz w:val="20"/>
                      <w:szCs w:val="20"/>
                    </w:rPr>
                    <w:t>) is the bacteria responsible for Staph infection</w:t>
                  </w:r>
                  <w:r w:rsidRPr="001F5B5C">
                    <w:rPr>
                      <w:rFonts w:ascii="Times New Roman" w:eastAsia="Times New Roman" w:hAnsi="Times New Roman"/>
                      <w:i/>
                      <w:iCs/>
                      <w:sz w:val="20"/>
                      <w:szCs w:val="20"/>
                    </w:rPr>
                    <w:t xml:space="preserve">. </w:t>
                  </w:r>
                  <w:r w:rsidRPr="001F5B5C">
                    <w:rPr>
                      <w:rFonts w:ascii="Times New Roman" w:eastAsia="Times New Roman" w:hAnsi="Times New Roman"/>
                      <w:sz w:val="20"/>
                      <w:szCs w:val="20"/>
                    </w:rPr>
                    <w:t xml:space="preserve">While </w:t>
                  </w:r>
                  <w:r w:rsidRPr="001F5B5C">
                    <w:rPr>
                      <w:rFonts w:ascii="Times New Roman" w:eastAsia="Times New Roman" w:hAnsi="Times New Roman"/>
                      <w:i/>
                      <w:iCs/>
                      <w:sz w:val="20"/>
                      <w:szCs w:val="20"/>
                    </w:rPr>
                    <w:t xml:space="preserve">S. aureus </w:t>
                  </w:r>
                  <w:r w:rsidRPr="001F5B5C">
                    <w:rPr>
                      <w:rFonts w:ascii="Times New Roman" w:eastAsia="Times New Roman" w:hAnsi="Times New Roman"/>
                      <w:sz w:val="20"/>
                      <w:szCs w:val="20"/>
                    </w:rPr>
                    <w:t xml:space="preserve">has long been considered a public health concern, the emergence of methicillin-resistant strains coupled with the migration of the infections from hospitals to the community has demanded the development of new methods for the prevention and treatment of Staph infection. Iron is an essential element for </w:t>
                  </w:r>
                  <w:r w:rsidRPr="001F5B5C">
                    <w:rPr>
                      <w:rFonts w:ascii="Times New Roman" w:eastAsia="Times New Roman" w:hAnsi="Times New Roman"/>
                      <w:i/>
                      <w:iCs/>
                      <w:sz w:val="20"/>
                      <w:szCs w:val="20"/>
                    </w:rPr>
                    <w:t>S. aureus</w:t>
                  </w:r>
                  <w:r w:rsidRPr="001F5B5C">
                    <w:rPr>
                      <w:rFonts w:ascii="Times New Roman" w:eastAsia="Times New Roman" w:hAnsi="Times New Roman"/>
                      <w:sz w:val="20"/>
                      <w:szCs w:val="20"/>
                    </w:rPr>
                    <w:t xml:space="preserve"> which uses two iron binding siderophores, Staphyloferrin A and Staphyloferrin B, to get the required iron. Literature suggests that Staphyloferrin A is more prevalent then Staphyloferrin B. Therefore, the aim of the present study is to synthesize citryl-ornithine analogs to serve as novel inhibitors for the biosynthesis of Staphyloferrin A. By mimicking an intermediate in the Staphyloferrin A biosynthetic pathway, the compounds could serve to hinder the production of Staphyloferrin A thus making it a potential treatment agent for Staph infection.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2356621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Multifunctional polyurethane hydrogels for biomedical applications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Christian Seitz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cseitz@elon.edu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Christian Seitz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Mai-Thi Nguyen-Kim</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Jannik Borghs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Jan Wallenborn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Alexander Böker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Elon University, Elon, NC, United States. </w:t>
                  </w:r>
                  <w:r w:rsidRPr="001F5B5C">
                    <w:rPr>
                      <w:rFonts w:ascii="Times New Roman" w:eastAsia="Times New Roman" w:hAnsi="Times New Roman"/>
                      <w:sz w:val="20"/>
                      <w:szCs w:val="20"/>
                    </w:rPr>
                    <w:br/>
                    <w:t xml:space="preserve">2. DWI – Leibniz-Institut für Interaktive Materialien, RWTH Aachen, Aachen, Nordrhein-Westfalen, Germany.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Polyurethanes represent a broad class of polymers widely applied in everyday-life. Although polyurethanes are easy to produce and have a broad range of adjustable properties, only a few polyurethane-based nanomaterials have been realized so far. Here we designed a novel class of water-soluble polyurethanes that combine multiple functionalities relevant for biomedical nano-applications. They have the potential to change their chemical and mechanical properties, triggered by both changes in pH inside the body and intracellular redoxosomes. Crosslinking water-soluble polyurethanes </w:t>
                  </w:r>
                  <w:proofErr w:type="gramStart"/>
                  <w:r w:rsidRPr="001F5B5C">
                    <w:rPr>
                      <w:rFonts w:ascii="Times New Roman" w:eastAsia="Times New Roman" w:hAnsi="Times New Roman"/>
                      <w:sz w:val="20"/>
                      <w:szCs w:val="20"/>
                    </w:rPr>
                    <w:t>leads</w:t>
                  </w:r>
                  <w:proofErr w:type="gramEnd"/>
                  <w:r w:rsidRPr="001F5B5C">
                    <w:rPr>
                      <w:rFonts w:ascii="Times New Roman" w:eastAsia="Times New Roman" w:hAnsi="Times New Roman"/>
                      <w:sz w:val="20"/>
                      <w:szCs w:val="20"/>
                    </w:rPr>
                    <w:t xml:space="preserve"> to hydrogels, which are materials with soft mechanical properties useful for applications like drug delivery or tissue engineering. However, previously reported methods to create polyurethane-based hydrogels are limited for biomedical use, since they are based on toxic isocyanate-terminated prepolymers. Our novel gelation mechanism is based on physical interactions and does not require any free isocyanate groups, rendering our hydrogels non-toxic and applicable as drug delivery systems or injectable gels for in-situ tissue engineering.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2357226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One-pot sequential conversion of aldehydes to N-tert-butyl amides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Rebekah Cecil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rebekah-cecil@mocs.utc.edu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Rebekah Cecil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Robert C. Mebane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Building on our facile conversion of aldehydes to nitriles using hydroxylamine hydrochloride we have successfully coupled this reaction with the well-known Ritter reaction to prepare N-tert-butyl amides when using t-butanol as the solvent in the Ritter reaction. This one-pot sequential reaction yields hindered amides in moderate to good yields and has proved more successful with aliphatic aldehydes. Work continues to optimize the conditions to convert aromatic aldehydes into hindered amides.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2357268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Identification and development of novel CDK inhibitors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Veronica Miles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vmiles@xula.edu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Veronica C. Miles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Faith Joseph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Phan Tram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Richard Schroeder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Treasure Stone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Kathy Nguyen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Harris McFerrin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Jayalakshmi Sridhar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Xavier University of Louisiana, New Orleans, LA, United States. </w:t>
                  </w:r>
                  <w:r w:rsidRPr="001F5B5C">
                    <w:rPr>
                      <w:rFonts w:ascii="Times New Roman" w:eastAsia="Times New Roman" w:hAnsi="Times New Roman"/>
                      <w:sz w:val="20"/>
                      <w:szCs w:val="20"/>
                    </w:rPr>
                    <w:br/>
                    <w:t xml:space="preserve">2. Biology, Xavier University of Louisiana, New Orleans,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Cyclin-dependent kinases (CDKs) play important roles in cell cycle regulation and proliferation. Changes in CDK activity have been implicated in numerous debilitating diseases such as neurodegenerative disorders, renal diseases, and cancers. Inhibition of CDK activity can be achieved through a variety of approaches, including the prevention of ATP binding to CDK through the use of small molecule competitive inhibitors. Our recent work investigating indazole and phthalimide compounds as potential small molecule CDK inhibitors led us to the development of 2 novel indazoles and the identification of a phthalimide compound showing significant activity in CDK1 and CDK2. These compounds all showed sub-micromolar inhibition potency in CDK1 and CDK2 kinase inhibition assays in-vitro. The identification and synthesis of the inhibitors are presented.</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2357279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 alkyne strategy for the stereoselective synthesis of piperidines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Nathan Robinson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Nathan.Robinson@vikings.berry.edu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Nathan Robinson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Danielle Penk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Mark L. Turlington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Berry College, Acworth,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Chiral piperidine ring systems are present in a variety of natural products and biologically active molecules. In light of the prevalence of this scaffold, we have developed an alkyne-based strategy to stereoselectively access piperidines containing an endocyclic alkene suitable for further functionalization. We demonstrate the addition of 4-chloro-1-butyne to Ellman N-</w:t>
                  </w:r>
                  <w:r w:rsidRPr="001F5B5C">
                    <w:rPr>
                      <w:rFonts w:ascii="Times New Roman" w:eastAsia="Times New Roman" w:hAnsi="Times New Roman"/>
                      <w:i/>
                      <w:iCs/>
                      <w:sz w:val="20"/>
                      <w:szCs w:val="20"/>
                    </w:rPr>
                    <w:t>tert</w:t>
                  </w:r>
                  <w:r w:rsidRPr="001F5B5C">
                    <w:rPr>
                      <w:rFonts w:ascii="Times New Roman" w:eastAsia="Times New Roman" w:hAnsi="Times New Roman"/>
                      <w:sz w:val="20"/>
                      <w:szCs w:val="20"/>
                    </w:rPr>
                    <w:t>-butanesulfinyl imines with high stereoselectivity and in good yield. Reduction of the resulting propargylamines and cyclization under basic conditions affords the desired chiral piperidine ring.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2357330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ginkgotoxin and related ether analogs.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Jessica Yazarians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jayazarians9560@eagle.fgcu.edu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Jessica Yazarians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Gregory R. Boyce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Florida Gulf Coast University, Estero,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synthesis of ginkgotoxin and related ether analogs from pyridoxine (vitamin B6), a cheap, readily available and nontoxic compound, is presented. Pyridoxine is demonstrated to undergo facile ortho-quinone methide (o-QM) formation under thermal conditions without the presence of an acid catalyst or the use of microwave irradiation to provide clean conversion to the desired ether products. A range of ether analogs is reported with high regioselectivity in good to excellent yields. The minor byproducts are also identified to account for the mass balance.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1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2357359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Assessing the feasibility of a one-pot, tandem olefin metathesis and isomerization sequence to synthesize conjugated aromatic olefins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Ajay Makwana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whj271@mocs.utc.edu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Ajay D. Makwana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Kyle S. Knight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Tennessee at Chattanooga, Ooltewah,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conjugation of substituted phenylpropene dimers using a one-pot, tandem olefin metathesis/isomerization sequence has been studied. This sequence relies on the facilitated, in-situ conversion of a ruthenium carbene species (Ru=CH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to a ruthenium hydride species (Ru-H) upon addition of an inorganic hydride source. Three separate reactions occur within one reaction flask: 1) cross metathesis of the starting phenylpropene to yield phenylpropene dimer via Ru=CH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catalyst, 2) conversion of Ru=CH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to Ru=H via addition of an inorganic hydride source, 3) isomerization of phenylpropene dimer via insertion and β-hydride elimination to yield conjugated product. We have discovered that each reaction in the sequence poses a unique challenge to overcome. The presence of dimerization and isomerization products in the crude reaction mixture has been consistently detected via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 NMR spectroscopy under various experimental conditions. As it stands, determining the optimal conditions for the conversion of Ru=CH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to Ru-H remains the greatest challenge and priority for the success of the proposed metathesis/isomerization sequence.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2358161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Preliminary syntheses of tricyclic furan-bridged ring systems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Alexandra MacLean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amaclean@samford.edu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Paul Wiget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Alexandra MacLean</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Samford University, Homewood, AL, United States. </w:t>
                  </w:r>
                  <w:r w:rsidRPr="001F5B5C">
                    <w:rPr>
                      <w:rFonts w:ascii="Times New Roman" w:eastAsia="Times New Roman" w:hAnsi="Times New Roman"/>
                      <w:sz w:val="20"/>
                      <w:szCs w:val="20"/>
                    </w:rPr>
                    <w:br/>
                    <w:t xml:space="preserve">2. Biological &amp; Environmental Sciences, Samford University, Homewood,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aim of this project is to synthesize Sarcodictyin A and other biologically relevant furan-bridged ring systems via an altered [4+3] cycloaddition method followed by a Baeyer-Villiger oxidation and transesterification pathway. The alpha-monochlorination of cycloheptanone proceeded smoothly to yield the desired monochlorinated 2-chlorocycloheptanone product at an excellent yield with no byproducts. The [4 + 3] cycloaddition to yield tricyclic furan bridged rings, derived from 2-chlorocyclohexanone and 2-chlorocycloheptanone with various 2,5-disubstituted furans through the aminoallyl transient intermediates has been examined to assess its scope and potential limitations of the Schmid cycloaddition method. Effects of variations of the ring size and alternative furan substrates have been investigated. Through the Schmid cycloaddition method utilizing alpha-chloroenamines, a new tricyclic furan bridged nine carbon ring system was synthesized, 2</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-dimethyl-11-oxatricyclo[4.3.1.12,5]undec-3-en-10-one. The dimethyl furan structure provides protection against the acid-catalyzed decomposition pathway that was not afforded with the original furan based tricyclic adduct. Analysis of the molecule was complete using traditional direct detection methods as well as indirect 2D spectral analysis methods. The limitations of concentration, solvent, pulse sequences and coupling constants on 2D spectral analysis have been analyzed.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2358194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Design, synthesis, and antimicrobial evaluation of a novel 3 ’-</w:t>
                  </w:r>
                  <w:r w:rsidRPr="001F5B5C">
                    <w:rPr>
                      <w:rFonts w:ascii="Times New Roman" w:eastAsia="Times New Roman" w:hAnsi="Times New Roman"/>
                      <w:i/>
                      <w:iCs/>
                      <w:sz w:val="20"/>
                      <w:szCs w:val="20"/>
                    </w:rPr>
                    <w:t>C</w:t>
                  </w:r>
                  <w:r w:rsidRPr="001F5B5C">
                    <w:rPr>
                      <w:rFonts w:ascii="Times New Roman" w:eastAsia="Times New Roman" w:hAnsi="Times New Roman"/>
                      <w:sz w:val="20"/>
                      <w:szCs w:val="20"/>
                    </w:rPr>
                    <w:t>-acetohydrazide puromycin analog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Joshua Carter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jacarter@presby.edu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Joshua Carter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Blair Weaver</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Maria Chiacchio</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Amy R. Messersmith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Brent D. Feske</w:t>
                  </w:r>
                  <w:r w:rsidRPr="001F5B5C">
                    <w:rPr>
                      <w:rFonts w:ascii="Times New Roman" w:eastAsia="Times New Roman" w:hAnsi="Times New Roman"/>
                      <w:sz w:val="20"/>
                      <w:szCs w:val="20"/>
                      <w:vertAlign w:val="superscript"/>
                    </w:rPr>
                    <w:t>5</w:t>
                  </w:r>
                  <w:r w:rsidRPr="001F5B5C">
                    <w:rPr>
                      <w:rFonts w:ascii="Times New Roman" w:eastAsia="Times New Roman" w:hAnsi="Times New Roman"/>
                      <w:sz w:val="20"/>
                      <w:szCs w:val="20"/>
                    </w:rPr>
                    <w:t>, Giuseppe Gumina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Presbyterian College School of Pharmacy, Laurens, SC, United States. </w:t>
                  </w:r>
                  <w:r w:rsidRPr="001F5B5C">
                    <w:rPr>
                      <w:rFonts w:ascii="Times New Roman" w:eastAsia="Times New Roman" w:hAnsi="Times New Roman"/>
                      <w:sz w:val="20"/>
                      <w:szCs w:val="20"/>
                    </w:rPr>
                    <w:br/>
                    <w:t xml:space="preserve">2. Presbyterian College School of Pharmacy, Clinton, SC, United States. </w:t>
                  </w:r>
                  <w:r w:rsidRPr="001F5B5C">
                    <w:rPr>
                      <w:rFonts w:ascii="Times New Roman" w:eastAsia="Times New Roman" w:hAnsi="Times New Roman"/>
                      <w:sz w:val="20"/>
                      <w:szCs w:val="20"/>
                    </w:rPr>
                    <w:br/>
                    <w:t xml:space="preserve">3. Armstrong State University, Savannah, GA, United States. </w:t>
                  </w:r>
                  <w:r w:rsidRPr="001F5B5C">
                    <w:rPr>
                      <w:rFonts w:ascii="Times New Roman" w:eastAsia="Times New Roman" w:hAnsi="Times New Roman"/>
                      <w:sz w:val="20"/>
                      <w:szCs w:val="20"/>
                    </w:rPr>
                    <w:br/>
                    <w:t xml:space="preserve">4. University of Catania, Catania, Italy. </w:t>
                  </w:r>
                  <w:r w:rsidRPr="001F5B5C">
                    <w:rPr>
                      <w:rFonts w:ascii="Times New Roman" w:eastAsia="Times New Roman" w:hAnsi="Times New Roman"/>
                      <w:sz w:val="20"/>
                      <w:szCs w:val="20"/>
                    </w:rPr>
                    <w:br/>
                    <w:t xml:space="preserve">5. Armstrong State University, Savannah,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Puromycin is a peptidyl nucleoside endowed with significant antibiotic and anticancer properties, but also with an unfortunate nephrotoxic character that has hampered its use as a chemotherapeutic agent. Since hydrolysis of puromycin’s amide is the first metabolic step leading to nephrotoxicity, we designed a 3’-</w:t>
                  </w:r>
                  <w:r w:rsidRPr="001F5B5C">
                    <w:rPr>
                      <w:rFonts w:ascii="Times New Roman" w:eastAsia="Times New Roman" w:hAnsi="Times New Roman"/>
                      <w:i/>
                      <w:iCs/>
                      <w:sz w:val="20"/>
                      <w:szCs w:val="20"/>
                    </w:rPr>
                    <w:t>C</w:t>
                  </w:r>
                  <w:r w:rsidRPr="001F5B5C">
                    <w:rPr>
                      <w:rFonts w:ascii="Times New Roman" w:eastAsia="Times New Roman" w:hAnsi="Times New Roman"/>
                      <w:sz w:val="20"/>
                      <w:szCs w:val="20"/>
                    </w:rPr>
                    <w:t xml:space="preserve">-hydrazide analog, where the nitrogen and carbon functionality around the amide carbonyl of puromycin are inverted. The title compound, synthesized in 11 steps from D-xylose, cannot be metabolized to the nephrotoxic aminonucleoside. Evaluation of the title compound on </w:t>
                  </w:r>
                  <w:r w:rsidRPr="001F5B5C">
                    <w:rPr>
                      <w:rFonts w:ascii="Times New Roman" w:eastAsia="Times New Roman" w:hAnsi="Times New Roman"/>
                      <w:i/>
                      <w:iCs/>
                      <w:sz w:val="20"/>
                      <w:szCs w:val="20"/>
                    </w:rPr>
                    <w:t>Staphylococcus Epidermidis</w:t>
                  </w:r>
                  <w:r w:rsidRPr="001F5B5C">
                    <w:rPr>
                      <w:rFonts w:ascii="Times New Roman" w:eastAsia="Times New Roman" w:hAnsi="Times New Roman"/>
                      <w:sz w:val="20"/>
                      <w:szCs w:val="20"/>
                    </w:rPr>
                    <w:t xml:space="preserve"> and multi-drug resistance </w:t>
                  </w:r>
                  <w:r w:rsidRPr="001F5B5C">
                    <w:rPr>
                      <w:rFonts w:ascii="Times New Roman" w:eastAsia="Times New Roman" w:hAnsi="Times New Roman"/>
                      <w:i/>
                      <w:iCs/>
                      <w:sz w:val="20"/>
                      <w:szCs w:val="20"/>
                    </w:rPr>
                    <w:t>Staphylococcus Aureus</w:t>
                  </w:r>
                  <w:r w:rsidRPr="001F5B5C">
                    <w:rPr>
                      <w:rFonts w:ascii="Times New Roman" w:eastAsia="Times New Roman" w:hAnsi="Times New Roman"/>
                      <w:sz w:val="20"/>
                      <w:szCs w:val="20"/>
                    </w:rPr>
                    <w:t xml:space="preserve"> cells did not show significant antimicrobial activity.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2358409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Synthesis of isoxazolopyridines via cyclization of 3-acylpyridine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-oxide oximes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Brandon Hicks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hicksb4@winthrop.edu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Brandon J. Hicks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James M. Hanna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Physics, and Geology, Winthrop University, Rock Hill,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Isoxazoles are associated with a wide spectrum of biological functions including antiviral, anthelmintic, anti-inflammatory, anticonvulsant and insecticidal activities. Derivatives of isoxazolopyridines are reported to have cholesterol lowering activities. Recently, our laboratory reported that tosylhydrazones formed using 3-acylpyridine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 xml:space="preserve">oxides could be cyclized into pyrazolopyridines. Reaction of an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 xml:space="preserve">oxide tosylhydrazone with a proper electrophile formed an activated intermediate that allowed nucleophilic attack at C2 or C4 on the pyridine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 xml:space="preserve">-oxide; in the presence of base </w:t>
                  </w:r>
                  <w:proofErr w:type="gramStart"/>
                  <w:r w:rsidRPr="001F5B5C">
                    <w:rPr>
                      <w:rFonts w:ascii="Times New Roman" w:eastAsia="Times New Roman" w:hAnsi="Times New Roman"/>
                      <w:sz w:val="20"/>
                      <w:szCs w:val="20"/>
                    </w:rPr>
                    <w:t>an E2</w:t>
                  </w:r>
                  <w:proofErr w:type="gramEnd"/>
                  <w:r w:rsidRPr="001F5B5C">
                    <w:rPr>
                      <w:rFonts w:ascii="Times New Roman" w:eastAsia="Times New Roman" w:hAnsi="Times New Roman"/>
                      <w:sz w:val="20"/>
                      <w:szCs w:val="20"/>
                    </w:rPr>
                    <w:t xml:space="preserve"> elimination gave the desired cyclized product. We envisioned that this same method could be applied to form isoxazolopyridines from 3-acylpyridine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 xml:space="preserve">-oxide oximes (figure). Cyclization of 3-pivaloylpyridine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oxide oxime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R=</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rPr>
                    <w:t xml:space="preserve">-Bu) to the corresponding isoxazolopyridine was accomplished using various electrophile/base combinations, the most effective of which was triisopropylbenzenesulfonyl chloride and diisopropylethylamine in dichloromethane, giving an 86% yield of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xml:space="preserve"> and a 9% yield of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Cyclization of 3-acetylpyridine N-oxide oxime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R=Me) using the standard reaction conditions unfortunately proved to afford no detectable amounts of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xml:space="preserve"> or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xml:space="preserve">′ (R = Me). The difference is most likely due to the configuration of the oxime: </w:t>
                  </w:r>
                  <w:r w:rsidRPr="001F5B5C">
                    <w:rPr>
                      <w:rFonts w:ascii="Times New Roman" w:eastAsia="Times New Roman" w:hAnsi="Times New Roman"/>
                      <w:sz w:val="20"/>
                      <w:szCs w:val="20"/>
                      <w:vertAlign w:val="superscript"/>
                    </w:rPr>
                    <w:t>13</w:t>
                  </w:r>
                  <w:r w:rsidRPr="001F5B5C">
                    <w:rPr>
                      <w:rFonts w:ascii="Times New Roman" w:eastAsia="Times New Roman" w:hAnsi="Times New Roman"/>
                      <w:sz w:val="20"/>
                      <w:szCs w:val="20"/>
                    </w:rPr>
                    <w:t xml:space="preserve">C-NMR confirmed the oxime hydroxyl to be </w:t>
                  </w:r>
                  <w:r w:rsidRPr="001F5B5C">
                    <w:rPr>
                      <w:rFonts w:ascii="Times New Roman" w:eastAsia="Times New Roman" w:hAnsi="Times New Roman"/>
                      <w:i/>
                      <w:iCs/>
                      <w:sz w:val="20"/>
                      <w:szCs w:val="20"/>
                    </w:rPr>
                    <w:t>syn</w:t>
                  </w:r>
                  <w:r w:rsidRPr="001F5B5C">
                    <w:rPr>
                      <w:rFonts w:ascii="Times New Roman" w:eastAsia="Times New Roman" w:hAnsi="Times New Roman"/>
                      <w:sz w:val="20"/>
                      <w:szCs w:val="20"/>
                    </w:rPr>
                    <w:t xml:space="preserve"> to the pyridine ring in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R=</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rPr>
                    <w:t xml:space="preserve">-Bu), but </w:t>
                  </w:r>
                  <w:r w:rsidRPr="001F5B5C">
                    <w:rPr>
                      <w:rFonts w:ascii="Times New Roman" w:eastAsia="Times New Roman" w:hAnsi="Times New Roman"/>
                      <w:i/>
                      <w:iCs/>
                      <w:sz w:val="20"/>
                      <w:szCs w:val="20"/>
                    </w:rPr>
                    <w:t>anti</w:t>
                  </w:r>
                  <w:r w:rsidRPr="001F5B5C">
                    <w:rPr>
                      <w:rFonts w:ascii="Times New Roman" w:eastAsia="Times New Roman" w:hAnsi="Times New Roman"/>
                      <w:sz w:val="20"/>
                      <w:szCs w:val="20"/>
                    </w:rPr>
                    <w:t xml:space="preserve"> to the pyridine ring in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R=Me).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2359257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evaluation of unsymmetrical biphenyltetrols as aggregation inhibitors for Alzheimer’s amyloid-β peptide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Jake Roberts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robertsj18@winthrop.edu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Jake A. Roberts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Andrea L. Taylor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Matthew J. Hurtt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Benjamin P. Hernandez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Sarah Wicks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James M. Hanna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Robin K. Lammi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Physics, and Geology, Winthrop University, Rock Hill,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Amyloid-β peptide (Aβ) self-assembles into neurotoxic, β-structured aggregates, which are the primary component of the extracellular senile plaques characteristic of Alzheimer’s disease. A variety of small molecules have been shown to inhibit the aggregation process; typically, these contain aromatic groups and one or more hydrogen-bond donors to enable binding to Aβ. We have previously identified biphenyltetrols (BPTs) as a class of molecules exhibiting promising inhibitory efficacy. 3</w:t>
                  </w:r>
                  <w:proofErr w:type="gramStart"/>
                  <w:r w:rsidRPr="001F5B5C">
                    <w:rPr>
                      <w:rFonts w:ascii="Times New Roman" w:eastAsia="Times New Roman" w:hAnsi="Times New Roman"/>
                      <w:sz w:val="20"/>
                      <w:szCs w:val="20"/>
                    </w:rPr>
                    <w:t>,3</w:t>
                  </w:r>
                  <w:proofErr w:type="gramEnd"/>
                  <w:r w:rsidRPr="001F5B5C">
                    <w:rPr>
                      <w:rFonts w:ascii="Times New Roman" w:eastAsia="Times New Roman" w:hAnsi="Times New Roman"/>
                      <w:sz w:val="20"/>
                      <w:szCs w:val="20"/>
                    </w:rPr>
                    <w:t>′,4,4′-tetrahydroxybiphenyl (3,4-BPT) is the most promising, reducing equilibrium aggregation by 50% when present in stoichiometric concentrations (i.e., IC</w:t>
                  </w:r>
                  <w:r w:rsidRPr="001F5B5C">
                    <w:rPr>
                      <w:rFonts w:ascii="Times New Roman" w:eastAsia="Times New Roman" w:hAnsi="Times New Roman"/>
                      <w:sz w:val="20"/>
                      <w:szCs w:val="20"/>
                      <w:vertAlign w:val="subscript"/>
                    </w:rPr>
                    <w:t>50</w:t>
                  </w:r>
                  <w:r w:rsidRPr="001F5B5C">
                    <w:rPr>
                      <w:rFonts w:ascii="Times New Roman" w:eastAsia="Times New Roman" w:hAnsi="Times New Roman"/>
                      <w:sz w:val="20"/>
                      <w:szCs w:val="20"/>
                    </w:rPr>
                    <w:t xml:space="preserve"> = 1X); 2,5- and 2,3-BPT also show significant inhibition. Based on these results, we hypothesized that “hybrid” unsymmetrical biphenyltetrols combining these arrangements of hydroxyl groups may also be successful inhibitors. 2,3′,4′,5-BPT, 2,3,3′,4′-BPT, and 2,2′,3,5′-BPT (figure) were therefore synthesized and evaluated for inhibitory efficacy using the Congo red (CR) spectral-shift assay, which exploits CR’s specific binding to β-structured aggregates to enable monitoring of Aβ aggregation as a function of time. Preliminary results indicate that neither 2</w:t>
                  </w:r>
                  <w:proofErr w:type="gramStart"/>
                  <w:r w:rsidRPr="001F5B5C">
                    <w:rPr>
                      <w:rFonts w:ascii="Times New Roman" w:eastAsia="Times New Roman" w:hAnsi="Times New Roman"/>
                      <w:sz w:val="20"/>
                      <w:szCs w:val="20"/>
                    </w:rPr>
                    <w:t>,3,3</w:t>
                  </w:r>
                  <w:proofErr w:type="gramEnd"/>
                  <w:r w:rsidRPr="001F5B5C">
                    <w:rPr>
                      <w:rFonts w:ascii="Times New Roman" w:eastAsia="Times New Roman" w:hAnsi="Times New Roman"/>
                      <w:sz w:val="20"/>
                      <w:szCs w:val="20"/>
                    </w:rPr>
                    <w:t>′,4′-BPT nor 2,2′,3,5′-BPT were effective inhibitors; however 2,3′,4′,5-BPT appeared to be a promising inhibitor of Aβ aggregation (preliminary IC</w:t>
                  </w:r>
                  <w:r w:rsidRPr="001F5B5C">
                    <w:rPr>
                      <w:rFonts w:ascii="Times New Roman" w:eastAsia="Times New Roman" w:hAnsi="Times New Roman"/>
                      <w:sz w:val="20"/>
                      <w:szCs w:val="20"/>
                      <w:vertAlign w:val="subscript"/>
                    </w:rPr>
                    <w:t>50</w:t>
                  </w:r>
                  <w:r w:rsidRPr="001F5B5C">
                    <w:rPr>
                      <w:rFonts w:ascii="Times New Roman" w:eastAsia="Times New Roman" w:hAnsi="Times New Roman"/>
                      <w:sz w:val="20"/>
                      <w:szCs w:val="20"/>
                    </w:rPr>
                    <w:t xml:space="preserve"> ~ 2X).</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2359321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Palladium-catalyzed synthesis of ureas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Lucien Jay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jaylp@g.cofc.edu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Lucien Jay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Timothy J. Barker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College of Charleston, Charleston, SC, United States. </w:t>
                  </w:r>
                  <w:r w:rsidRPr="001F5B5C">
                    <w:rPr>
                      <w:rFonts w:ascii="Times New Roman" w:eastAsia="Times New Roman" w:hAnsi="Times New Roman"/>
                      <w:sz w:val="20"/>
                      <w:szCs w:val="20"/>
                    </w:rPr>
                    <w:br/>
                    <w:t xml:space="preserve">2. Chemistry and Biochemistry,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palladium-catalyzed synthesis of ureas has been developed. An examination of phosphine ligands compatible with this reaction was performed. Various starting electrophiles and amines have been shown to provide the urea products in good yields.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2359447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Mosquitocidal and antibacterial activity of the essential oil of </w:t>
                  </w:r>
                  <w:r w:rsidRPr="001F5B5C">
                    <w:rPr>
                      <w:rFonts w:ascii="Times New Roman" w:eastAsia="Times New Roman" w:hAnsi="Times New Roman"/>
                      <w:i/>
                      <w:iCs/>
                      <w:sz w:val="20"/>
                      <w:szCs w:val="20"/>
                    </w:rPr>
                    <w:t xml:space="preserve">Solidago gigantea </w:t>
                  </w:r>
                  <w:r w:rsidRPr="001F5B5C">
                    <w:rPr>
                      <w:rFonts w:ascii="Times New Roman" w:eastAsia="Times New Roman" w:hAnsi="Times New Roman"/>
                      <w:sz w:val="20"/>
                      <w:szCs w:val="20"/>
                    </w:rPr>
                    <w:t>(Giant Goldenrod)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Caleb Ardizzone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msu-cardizzone@student.mcneese.edu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Caleb Ardizzone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Nick DeVito</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Tatiana A. Estrada</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Janet Woolman</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Margaret Cochran</w:t>
                  </w:r>
                  <w:r w:rsidRPr="001F5B5C">
                    <w:rPr>
                      <w:rFonts w:ascii="Times New Roman" w:eastAsia="Times New Roman" w:hAnsi="Times New Roman"/>
                      <w:sz w:val="20"/>
                      <w:szCs w:val="20"/>
                      <w:vertAlign w:val="superscript"/>
                    </w:rPr>
                    <w:t>5</w:t>
                  </w:r>
                  <w:r w:rsidRPr="001F5B5C">
                    <w:rPr>
                      <w:rFonts w:ascii="Times New Roman" w:eastAsia="Times New Roman" w:hAnsi="Times New Roman"/>
                      <w:sz w:val="20"/>
                      <w:szCs w:val="20"/>
                    </w:rPr>
                    <w:t>, William Dees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 Struchtemeyer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Omar E. Christian</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Biology and Health Sciences, McNeese State University, Lake Charles, LA, United States. </w:t>
                  </w:r>
                  <w:r w:rsidRPr="001F5B5C">
                    <w:rPr>
                      <w:rFonts w:ascii="Times New Roman" w:eastAsia="Times New Roman" w:hAnsi="Times New Roman"/>
                      <w:sz w:val="20"/>
                      <w:szCs w:val="20"/>
                    </w:rPr>
                    <w:br/>
                    <w:t xml:space="preserve">2. Biological Sciences, Vanderbilt University, Nashville, TN, United States. </w:t>
                  </w:r>
                  <w:r w:rsidRPr="001F5B5C">
                    <w:rPr>
                      <w:rFonts w:ascii="Times New Roman" w:eastAsia="Times New Roman" w:hAnsi="Times New Roman"/>
                      <w:sz w:val="20"/>
                      <w:szCs w:val="20"/>
                    </w:rPr>
                    <w:br/>
                    <w:t xml:space="preserve">3. Chemistry and Physics, McNeese State University, Lake Charles, LA, United States. </w:t>
                  </w:r>
                  <w:r w:rsidRPr="001F5B5C">
                    <w:rPr>
                      <w:rFonts w:ascii="Times New Roman" w:eastAsia="Times New Roman" w:hAnsi="Times New Roman"/>
                      <w:sz w:val="20"/>
                      <w:szCs w:val="20"/>
                    </w:rPr>
                    <w:br/>
                    <w:t xml:space="preserve">4. Louisiana Environmental Research Center, McNeese State University, Lake Charles, LA, United States. </w:t>
                  </w:r>
                  <w:r w:rsidRPr="001F5B5C">
                    <w:rPr>
                      <w:rFonts w:ascii="Times New Roman" w:eastAsia="Times New Roman" w:hAnsi="Times New Roman"/>
                      <w:sz w:val="20"/>
                      <w:szCs w:val="20"/>
                    </w:rPr>
                    <w:br/>
                    <w:t xml:space="preserve">5. Louisiana Scholars College, Northwestern State University, Natchitoches,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Mosquito-borne diseases like chikungunya, dengue fever and yellow fever remain a significant threat to public health. </w:t>
                  </w:r>
                  <w:r w:rsidRPr="001F5B5C">
                    <w:rPr>
                      <w:rFonts w:ascii="Times New Roman" w:eastAsia="Times New Roman" w:hAnsi="Times New Roman"/>
                      <w:i/>
                      <w:iCs/>
                      <w:sz w:val="20"/>
                      <w:szCs w:val="20"/>
                    </w:rPr>
                    <w:t>Aedes aegypti</w:t>
                  </w:r>
                  <w:r w:rsidRPr="001F5B5C">
                    <w:rPr>
                      <w:rFonts w:ascii="Times New Roman" w:eastAsia="Times New Roman" w:hAnsi="Times New Roman"/>
                      <w:sz w:val="20"/>
                      <w:szCs w:val="20"/>
                    </w:rPr>
                    <w:t xml:space="preserve"> and </w:t>
                  </w:r>
                  <w:r w:rsidRPr="001F5B5C">
                    <w:rPr>
                      <w:rFonts w:ascii="Times New Roman" w:eastAsia="Times New Roman" w:hAnsi="Times New Roman"/>
                      <w:i/>
                      <w:iCs/>
                      <w:sz w:val="20"/>
                      <w:szCs w:val="20"/>
                    </w:rPr>
                    <w:t>Aedes albopictus</w:t>
                  </w:r>
                  <w:r w:rsidRPr="001F5B5C">
                    <w:rPr>
                      <w:rFonts w:ascii="Times New Roman" w:eastAsia="Times New Roman" w:hAnsi="Times New Roman"/>
                      <w:sz w:val="20"/>
                      <w:szCs w:val="20"/>
                    </w:rPr>
                    <w:t xml:space="preserve"> are the primary vectors of these diseases. New and more efficacious strategies to combat these mosquitoes at various stages in their life cycle are critical to controlling the spread of these diseases. Studies are underway in our laboratory that may lead to innovative personal protective measures against these pests. In this study, the essential oil of </w:t>
                  </w:r>
                  <w:r w:rsidRPr="001F5B5C">
                    <w:rPr>
                      <w:rFonts w:ascii="Times New Roman" w:eastAsia="Times New Roman" w:hAnsi="Times New Roman"/>
                      <w:i/>
                      <w:iCs/>
                      <w:sz w:val="20"/>
                      <w:szCs w:val="20"/>
                    </w:rPr>
                    <w:t>Solidago gigantea</w:t>
                  </w:r>
                  <w:r w:rsidRPr="001F5B5C">
                    <w:rPr>
                      <w:rFonts w:ascii="Times New Roman" w:eastAsia="Times New Roman" w:hAnsi="Times New Roman"/>
                      <w:sz w:val="20"/>
                      <w:szCs w:val="20"/>
                    </w:rPr>
                    <w:t xml:space="preserve"> was obtained by hydrodistillation using a Clevenger apparatus. The oil displayed concentration-dependent toxicity toward </w:t>
                  </w:r>
                  <w:r w:rsidRPr="001F5B5C">
                    <w:rPr>
                      <w:rFonts w:ascii="Times New Roman" w:eastAsia="Times New Roman" w:hAnsi="Times New Roman"/>
                      <w:i/>
                      <w:iCs/>
                      <w:sz w:val="20"/>
                      <w:szCs w:val="20"/>
                    </w:rPr>
                    <w:t>Aedes aegypti</w:t>
                  </w:r>
                  <w:r w:rsidRPr="001F5B5C">
                    <w:rPr>
                      <w:rFonts w:ascii="Times New Roman" w:eastAsia="Times New Roman" w:hAnsi="Times New Roman"/>
                      <w:sz w:val="20"/>
                      <w:szCs w:val="20"/>
                    </w:rPr>
                    <w:t xml:space="preserve"> mosquitoes in a Petri dish contact assay. The essential oils also displayed moderate antibacterial activity against </w:t>
                  </w:r>
                  <w:r w:rsidRPr="001F5B5C">
                    <w:rPr>
                      <w:rFonts w:ascii="Times New Roman" w:eastAsia="Times New Roman" w:hAnsi="Times New Roman"/>
                      <w:i/>
                      <w:iCs/>
                      <w:sz w:val="20"/>
                      <w:szCs w:val="20"/>
                    </w:rPr>
                    <w:t>Staphylococcus aureus</w:t>
                  </w:r>
                  <w:r w:rsidRPr="001F5B5C">
                    <w:rPr>
                      <w:rFonts w:ascii="Times New Roman" w:eastAsia="Times New Roman" w:hAnsi="Times New Roman"/>
                      <w:sz w:val="20"/>
                      <w:szCs w:val="20"/>
                    </w:rPr>
                    <w:t xml:space="preserve">. This study describes the evaluation of the essential oil derived from </w:t>
                  </w:r>
                  <w:r w:rsidRPr="001F5B5C">
                    <w:rPr>
                      <w:rFonts w:ascii="Times New Roman" w:eastAsia="Times New Roman" w:hAnsi="Times New Roman"/>
                      <w:i/>
                      <w:iCs/>
                      <w:sz w:val="20"/>
                      <w:szCs w:val="20"/>
                    </w:rPr>
                    <w:t>Solidago gigantea</w:t>
                  </w:r>
                  <w:r w:rsidRPr="001F5B5C">
                    <w:rPr>
                      <w:rFonts w:ascii="Times New Roman" w:eastAsia="Times New Roman" w:hAnsi="Times New Roman"/>
                      <w:sz w:val="20"/>
                      <w:szCs w:val="20"/>
                    </w:rPr>
                    <w:t xml:space="preserve"> for mosquitocidal and antibacterial activity.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2359513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Concentration-dependent antibacterial evaluation of the essential oil of </w:t>
                  </w:r>
                  <w:r w:rsidRPr="001F5B5C">
                    <w:rPr>
                      <w:rFonts w:ascii="Times New Roman" w:eastAsia="Times New Roman" w:hAnsi="Times New Roman"/>
                      <w:i/>
                      <w:iCs/>
                      <w:sz w:val="20"/>
                      <w:szCs w:val="20"/>
                    </w:rPr>
                    <w:t>Pycnanthemum tenuifolium</w:t>
                  </w:r>
                  <w:r w:rsidRPr="001F5B5C">
                    <w:rPr>
                      <w:rFonts w:ascii="Times New Roman" w:eastAsia="Times New Roman" w:hAnsi="Times New Roman"/>
                      <w:sz w:val="20"/>
                      <w:szCs w:val="20"/>
                    </w:rPr>
                    <w:t xml:space="preserve"> against </w:t>
                  </w:r>
                  <w:r w:rsidRPr="001F5B5C">
                    <w:rPr>
                      <w:rFonts w:ascii="Times New Roman" w:eastAsia="Times New Roman" w:hAnsi="Times New Roman"/>
                      <w:i/>
                      <w:iCs/>
                      <w:sz w:val="20"/>
                      <w:szCs w:val="20"/>
                    </w:rPr>
                    <w:t>Staphylococcus aureus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Nick DeVito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nicholas.a.devito@vanderbilt.edu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Nick DeVito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Tatiana A. Estrada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Caleb Ardizzone</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Janet Woolman</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Chris Struchtemeyer</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William Dees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Omar E. Christian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Biological Sciences, Vanderbilt University, Nashville, TN, United States. </w:t>
                  </w:r>
                  <w:r w:rsidRPr="001F5B5C">
                    <w:rPr>
                      <w:rFonts w:ascii="Times New Roman" w:eastAsia="Times New Roman" w:hAnsi="Times New Roman"/>
                      <w:sz w:val="20"/>
                      <w:szCs w:val="20"/>
                    </w:rPr>
                    <w:br/>
                    <w:t xml:space="preserve">2. Chemistry and Physics, McNeese State University, Lake Charles, LA, United States. </w:t>
                  </w:r>
                  <w:r w:rsidRPr="001F5B5C">
                    <w:rPr>
                      <w:rFonts w:ascii="Times New Roman" w:eastAsia="Times New Roman" w:hAnsi="Times New Roman"/>
                      <w:sz w:val="20"/>
                      <w:szCs w:val="20"/>
                    </w:rPr>
                    <w:br/>
                    <w:t xml:space="preserve">3. Biology and Health Sciences, McNeese State University, Lake Charles, LA, United States. </w:t>
                  </w:r>
                  <w:r w:rsidRPr="001F5B5C">
                    <w:rPr>
                      <w:rFonts w:ascii="Times New Roman" w:eastAsia="Times New Roman" w:hAnsi="Times New Roman"/>
                      <w:sz w:val="20"/>
                      <w:szCs w:val="20"/>
                    </w:rPr>
                    <w:br/>
                    <w:t xml:space="preserve">4. Louisiana Environmental Research Center, McNeese State University, Lake Charles,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Health-care associated bacterial infections, especially infections from </w:t>
                  </w:r>
                  <w:r w:rsidRPr="001F5B5C">
                    <w:rPr>
                      <w:rFonts w:ascii="Times New Roman" w:eastAsia="Times New Roman" w:hAnsi="Times New Roman"/>
                      <w:i/>
                      <w:iCs/>
                      <w:sz w:val="20"/>
                      <w:szCs w:val="20"/>
                    </w:rPr>
                    <w:t>Staphylococcus aureus</w:t>
                  </w:r>
                  <w:r w:rsidRPr="001F5B5C">
                    <w:rPr>
                      <w:rFonts w:ascii="Times New Roman" w:eastAsia="Times New Roman" w:hAnsi="Times New Roman"/>
                      <w:sz w:val="20"/>
                      <w:szCs w:val="20"/>
                    </w:rPr>
                    <w:t xml:space="preserve">, remain a significant concern in U.S. hospitals. The ever-growing battalion of antibiotic resistant microbes requires the development of new and different antibacterial agents to combat these pathogens. Plant metabolites are an attractive source for new antimicrobial compounds. In previous studies, we demonstrated both antimicrobial and mosquitocidal activity of the essential oil from leaves and stems of Slender Mountain Mint, </w:t>
                  </w:r>
                  <w:r w:rsidRPr="001F5B5C">
                    <w:rPr>
                      <w:rFonts w:ascii="Times New Roman" w:eastAsia="Times New Roman" w:hAnsi="Times New Roman"/>
                      <w:i/>
                      <w:iCs/>
                      <w:sz w:val="20"/>
                      <w:szCs w:val="20"/>
                    </w:rPr>
                    <w:t>Pycnanthemum tenuifolium</w:t>
                  </w:r>
                  <w:r w:rsidRPr="001F5B5C">
                    <w:rPr>
                      <w:rFonts w:ascii="Times New Roman" w:eastAsia="Times New Roman" w:hAnsi="Times New Roman"/>
                      <w:sz w:val="20"/>
                      <w:szCs w:val="20"/>
                    </w:rPr>
                    <w:t xml:space="preserve">. The main component was identified as pulegone. Our current investigation describes the concentration-dependent antibacterial evaluation of the essential oil of </w:t>
                  </w:r>
                  <w:r w:rsidRPr="001F5B5C">
                    <w:rPr>
                      <w:rFonts w:ascii="Times New Roman" w:eastAsia="Times New Roman" w:hAnsi="Times New Roman"/>
                      <w:i/>
                      <w:iCs/>
                      <w:sz w:val="20"/>
                      <w:szCs w:val="20"/>
                    </w:rPr>
                    <w:t>P. tenuifolium</w:t>
                  </w:r>
                  <w:r w:rsidRPr="001F5B5C">
                    <w:rPr>
                      <w:rFonts w:ascii="Times New Roman" w:eastAsia="Times New Roman" w:hAnsi="Times New Roman"/>
                      <w:sz w:val="20"/>
                      <w:szCs w:val="20"/>
                    </w:rPr>
                    <w:t xml:space="preserve"> against </w:t>
                  </w:r>
                  <w:r w:rsidRPr="001F5B5C">
                    <w:rPr>
                      <w:rFonts w:ascii="Times New Roman" w:eastAsia="Times New Roman" w:hAnsi="Times New Roman"/>
                      <w:i/>
                      <w:iCs/>
                      <w:sz w:val="20"/>
                      <w:szCs w:val="20"/>
                    </w:rPr>
                    <w:t>S. aureus</w:t>
                  </w:r>
                  <w:r w:rsidRPr="001F5B5C">
                    <w:rPr>
                      <w:rFonts w:ascii="Times New Roman" w:eastAsia="Times New Roman" w:hAnsi="Times New Roman"/>
                      <w:sz w:val="20"/>
                      <w:szCs w:val="20"/>
                    </w:rPr>
                    <w: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2359606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Effect of botanical metabolites from 21 plant species on the yellow fever mosquito, </w:t>
                  </w:r>
                  <w:r w:rsidRPr="001F5B5C">
                    <w:rPr>
                      <w:rFonts w:ascii="Times New Roman" w:eastAsia="Times New Roman" w:hAnsi="Times New Roman"/>
                      <w:i/>
                      <w:iCs/>
                      <w:sz w:val="20"/>
                      <w:szCs w:val="20"/>
                    </w:rPr>
                    <w:t>Aedes aegypti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Caleb Ardizzone | William Dees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msu-cardizzone@student.mcneese.edu | w.dees.01@gmail.com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Caleb Ardizzone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William Dees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Omar E. Christian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Janie Theriot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Kathryn Leonards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Allison Fusilier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Cecilia Richmond</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Jill Hightower</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Adam D. Richard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Jesse Dupre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Margaret Cochran</w:t>
                  </w:r>
                  <w:r w:rsidRPr="001F5B5C">
                    <w:rPr>
                      <w:rFonts w:ascii="Times New Roman" w:eastAsia="Times New Roman" w:hAnsi="Times New Roman"/>
                      <w:sz w:val="20"/>
                      <w:szCs w:val="20"/>
                      <w:vertAlign w:val="superscript"/>
                    </w:rPr>
                    <w:t>5</w:t>
                  </w:r>
                  <w:r w:rsidRPr="001F5B5C">
                    <w:rPr>
                      <w:rFonts w:ascii="Times New Roman" w:eastAsia="Times New Roman" w:hAnsi="Times New Roman"/>
                      <w:sz w:val="20"/>
                      <w:szCs w:val="20"/>
                    </w:rPr>
                    <w:t>, Joel Byrne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Tatiana A. Estrada</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Andre Daugereaux</w:t>
                  </w:r>
                  <w:r w:rsidRPr="001F5B5C">
                    <w:rPr>
                      <w:rFonts w:ascii="Times New Roman" w:eastAsia="Times New Roman" w:hAnsi="Times New Roman"/>
                      <w:sz w:val="20"/>
                      <w:szCs w:val="20"/>
                      <w:vertAlign w:val="superscript"/>
                    </w:rPr>
                    <w:t>6</w:t>
                  </w:r>
                  <w:r w:rsidRPr="001F5B5C">
                    <w:rPr>
                      <w:rFonts w:ascii="Times New Roman" w:eastAsia="Times New Roman" w:hAnsi="Times New Roman"/>
                      <w:sz w:val="20"/>
                      <w:szCs w:val="20"/>
                    </w:rPr>
                    <w:t>, Susan Mopper</w:t>
                  </w:r>
                  <w:r w:rsidRPr="001F5B5C">
                    <w:rPr>
                      <w:rFonts w:ascii="Times New Roman" w:eastAsia="Times New Roman" w:hAnsi="Times New Roman"/>
                      <w:sz w:val="20"/>
                      <w:szCs w:val="20"/>
                      <w:vertAlign w:val="superscript"/>
                    </w:rPr>
                    <w:t>6</w:t>
                  </w:r>
                  <w:r w:rsidRPr="001F5B5C">
                    <w:rPr>
                      <w:rFonts w:ascii="Times New Roman" w:eastAsia="Times New Roman" w:hAnsi="Times New Roman"/>
                      <w:sz w:val="20"/>
                      <w:szCs w:val="20"/>
                    </w:rPr>
                    <w:t>, Janet Woolman</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Biology and Health Sciences, McNeese State University, Lake Charles, LA, United States. </w:t>
                  </w:r>
                  <w:r w:rsidRPr="001F5B5C">
                    <w:rPr>
                      <w:rFonts w:ascii="Times New Roman" w:eastAsia="Times New Roman" w:hAnsi="Times New Roman"/>
                      <w:sz w:val="20"/>
                      <w:szCs w:val="20"/>
                    </w:rPr>
                    <w:br/>
                    <w:t xml:space="preserve">2. Chemistry and Physics, McNeese State University, Lake Charles, LA, United States. </w:t>
                  </w:r>
                  <w:r w:rsidRPr="001F5B5C">
                    <w:rPr>
                      <w:rFonts w:ascii="Times New Roman" w:eastAsia="Times New Roman" w:hAnsi="Times New Roman"/>
                      <w:sz w:val="20"/>
                      <w:szCs w:val="20"/>
                    </w:rPr>
                    <w:br/>
                    <w:t xml:space="preserve">3. Louisiana Environmental Research Center, McNeese State University, Lake Charles, LA, United States. </w:t>
                  </w:r>
                  <w:r w:rsidRPr="001F5B5C">
                    <w:rPr>
                      <w:rFonts w:ascii="Times New Roman" w:eastAsia="Times New Roman" w:hAnsi="Times New Roman"/>
                      <w:sz w:val="20"/>
                      <w:szCs w:val="20"/>
                    </w:rPr>
                    <w:br/>
                    <w:t xml:space="preserve">4. Calcasieu Parish Mosquito and Rodent </w:t>
                  </w:r>
                  <w:proofErr w:type="gramStart"/>
                  <w:r w:rsidRPr="001F5B5C">
                    <w:rPr>
                      <w:rFonts w:ascii="Times New Roman" w:eastAsia="Times New Roman" w:hAnsi="Times New Roman"/>
                      <w:sz w:val="20"/>
                      <w:szCs w:val="20"/>
                    </w:rPr>
                    <w:t>Control ,</w:t>
                  </w:r>
                  <w:proofErr w:type="gramEnd"/>
                  <w:r w:rsidRPr="001F5B5C">
                    <w:rPr>
                      <w:rFonts w:ascii="Times New Roman" w:eastAsia="Times New Roman" w:hAnsi="Times New Roman"/>
                      <w:sz w:val="20"/>
                      <w:szCs w:val="20"/>
                    </w:rPr>
                    <w:t xml:space="preserve"> Calcasieu Parish Police Jury, Lake Charles, LA, United States. </w:t>
                  </w:r>
                  <w:r w:rsidRPr="001F5B5C">
                    <w:rPr>
                      <w:rFonts w:ascii="Times New Roman" w:eastAsia="Times New Roman" w:hAnsi="Times New Roman"/>
                      <w:sz w:val="20"/>
                      <w:szCs w:val="20"/>
                    </w:rPr>
                    <w:br/>
                    <w:t xml:space="preserve">5. Louisiana Scholars College, Northwestern State University, Natchitoches, LA, United States. </w:t>
                  </w:r>
                  <w:r w:rsidRPr="001F5B5C">
                    <w:rPr>
                      <w:rFonts w:ascii="Times New Roman" w:eastAsia="Times New Roman" w:hAnsi="Times New Roman"/>
                      <w:sz w:val="20"/>
                      <w:szCs w:val="20"/>
                    </w:rPr>
                    <w:br/>
                    <w:t xml:space="preserve">6. Center for Ecology and Environmental Technology, University of Louisiana-Lafayette, Lafayette,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We are investigating if components and/or derivatives (e.g., essential oils) of plants native to Louisiana alter the behavior and development of medically important arthropods (e.g., mosquitoes and nuisance flies). Information obtained from these investigations may lead to innovative area-wide pest management methodologies as well as novel personal protective measures against biting arthropods. Current studies focus on the effects of botanical components on mosquito mortality. We evaluated the effects of freshly-cut plant parts from eight plant families on female </w:t>
                  </w:r>
                  <w:r w:rsidRPr="001F5B5C">
                    <w:rPr>
                      <w:rFonts w:ascii="Times New Roman" w:eastAsia="Times New Roman" w:hAnsi="Times New Roman"/>
                      <w:i/>
                      <w:iCs/>
                      <w:sz w:val="20"/>
                      <w:szCs w:val="20"/>
                    </w:rPr>
                    <w:t>Aedes aegypti</w:t>
                  </w:r>
                  <w:r w:rsidRPr="001F5B5C">
                    <w:rPr>
                      <w:rFonts w:ascii="Times New Roman" w:eastAsia="Times New Roman" w:hAnsi="Times New Roman"/>
                      <w:sz w:val="20"/>
                      <w:szCs w:val="20"/>
                    </w:rPr>
                    <w:t xml:space="preserve"> mosquitoes. Plant families included: Apiaceae, Apocynaceae, Asteraceae, Euphorbiaceae, Lamiaceae, Lythraceae, Malvaceae, and Verbenaceae. Standard plastic Petri dishes were used to hold mosquitoes and cut plant parts. We recorded percent mortality at 24 and 48 h. Mosquitoes exposed to fresh-cut flowers/petals, buds, leaves, stems, and seeds from Apiaceae, Asteraceae and Lamiaceae exhibited over 50% mortality when compared with the controls. Genera of interest include: </w:t>
                  </w:r>
                  <w:r w:rsidRPr="001F5B5C">
                    <w:rPr>
                      <w:rFonts w:ascii="Times New Roman" w:eastAsia="Times New Roman" w:hAnsi="Times New Roman"/>
                      <w:i/>
                      <w:iCs/>
                      <w:sz w:val="20"/>
                      <w:szCs w:val="20"/>
                    </w:rPr>
                    <w:t>Chrysanthemum</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Eryngium</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Eupatorium</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Rudbeckia</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Monarda</w:t>
                  </w:r>
                  <w:r w:rsidRPr="001F5B5C">
                    <w:rPr>
                      <w:rFonts w:ascii="Times New Roman" w:eastAsia="Times New Roman" w:hAnsi="Times New Roman"/>
                      <w:sz w:val="20"/>
                      <w:szCs w:val="20"/>
                    </w:rPr>
                    <w:t xml:space="preserve">, and </w:t>
                  </w:r>
                  <w:r w:rsidRPr="001F5B5C">
                    <w:rPr>
                      <w:rFonts w:ascii="Times New Roman" w:eastAsia="Times New Roman" w:hAnsi="Times New Roman"/>
                      <w:i/>
                      <w:iCs/>
                      <w:sz w:val="20"/>
                      <w:szCs w:val="20"/>
                    </w:rPr>
                    <w:t>Pycnanthemum</w:t>
                  </w:r>
                  <w:r w:rsidRPr="001F5B5C">
                    <w:rPr>
                      <w:rFonts w:ascii="Times New Roman" w:eastAsia="Times New Roman" w:hAnsi="Times New Roman"/>
                      <w:sz w:val="20"/>
                      <w:szCs w:val="20"/>
                    </w:rPr>
                    <w:t xml:space="preserve">. Mosquitoes exposed to different parts of a chrysanthemum plant (flowers, buds, leaves, stems and seeds) exhibited 100% mortality in 24 h. Mosquitoes exposed to cut buds of </w:t>
                  </w:r>
                  <w:r w:rsidRPr="001F5B5C">
                    <w:rPr>
                      <w:rFonts w:ascii="Times New Roman" w:eastAsia="Times New Roman" w:hAnsi="Times New Roman"/>
                      <w:i/>
                      <w:iCs/>
                      <w:sz w:val="20"/>
                      <w:szCs w:val="20"/>
                    </w:rPr>
                    <w:t>Pycnanthemum muticum</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P. tenuifolium</w:t>
                  </w:r>
                  <w:r w:rsidRPr="001F5B5C">
                    <w:rPr>
                      <w:rFonts w:ascii="Times New Roman" w:eastAsia="Times New Roman" w:hAnsi="Times New Roman"/>
                      <w:sz w:val="20"/>
                      <w:szCs w:val="20"/>
                    </w:rPr>
                    <w:t xml:space="preserve">, and </w:t>
                  </w:r>
                  <w:r w:rsidRPr="001F5B5C">
                    <w:rPr>
                      <w:rFonts w:ascii="Times New Roman" w:eastAsia="Times New Roman" w:hAnsi="Times New Roman"/>
                      <w:i/>
                      <w:iCs/>
                      <w:sz w:val="20"/>
                      <w:szCs w:val="20"/>
                    </w:rPr>
                    <w:t>Monarda fistulosa</w:t>
                  </w:r>
                  <w:r w:rsidRPr="001F5B5C">
                    <w:rPr>
                      <w:rFonts w:ascii="Times New Roman" w:eastAsia="Times New Roman" w:hAnsi="Times New Roman"/>
                      <w:sz w:val="20"/>
                      <w:szCs w:val="20"/>
                    </w:rPr>
                    <w:t xml:space="preserve"> as well as crushed seeds of </w:t>
                  </w:r>
                  <w:r w:rsidRPr="001F5B5C">
                    <w:rPr>
                      <w:rFonts w:ascii="Times New Roman" w:eastAsia="Times New Roman" w:hAnsi="Times New Roman"/>
                      <w:i/>
                      <w:iCs/>
                      <w:sz w:val="20"/>
                      <w:szCs w:val="20"/>
                    </w:rPr>
                    <w:t>M. fistulosa</w:t>
                  </w:r>
                  <w:r w:rsidRPr="001F5B5C">
                    <w:rPr>
                      <w:rFonts w:ascii="Times New Roman" w:eastAsia="Times New Roman" w:hAnsi="Times New Roman"/>
                      <w:sz w:val="20"/>
                      <w:szCs w:val="20"/>
                    </w:rPr>
                    <w:t xml:space="preserve"> exhibited 100% mortality in 24 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2359688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characterization of 3,4-dialkoxybenzyl substituted bis-urea organogelators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 Loya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jloyaflores13@austincollege.edu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Daniel Loya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Andrew J. Carr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Austin Collage, Sherman,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goal of the research was to synthesize a series of branched bis-urea molecules using 3</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-dihydroxybenzaldehyde (3,4-DHB) as the starting material for an organogelation structure function study. By starting with 3</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-DHB it is possible to vary the length of the alkyl tails (R=C</w:t>
                  </w:r>
                  <w:r w:rsidRPr="001F5B5C">
                    <w:rPr>
                      <w:rFonts w:ascii="Times New Roman" w:eastAsia="Times New Roman" w:hAnsi="Times New Roman"/>
                      <w:sz w:val="20"/>
                      <w:szCs w:val="20"/>
                      <w:vertAlign w:val="subscript"/>
                    </w:rPr>
                    <w:t>10</w:t>
                  </w:r>
                  <w:r w:rsidRPr="001F5B5C">
                    <w:rPr>
                      <w:rFonts w:ascii="Times New Roman" w:eastAsia="Times New Roman" w:hAnsi="Times New Roman"/>
                      <w:sz w:val="20"/>
                      <w:szCs w:val="20"/>
                    </w:rPr>
                    <w:t xml:space="preserve"> toC</w:t>
                  </w:r>
                  <w:r w:rsidRPr="001F5B5C">
                    <w:rPr>
                      <w:rFonts w:ascii="Times New Roman" w:eastAsia="Times New Roman" w:hAnsi="Times New Roman"/>
                      <w:sz w:val="20"/>
                      <w:szCs w:val="20"/>
                      <w:vertAlign w:val="subscript"/>
                    </w:rPr>
                    <w:t>22</w:t>
                  </w:r>
                  <w:r w:rsidRPr="001F5B5C">
                    <w:rPr>
                      <w:rFonts w:ascii="Times New Roman" w:eastAsia="Times New Roman" w:hAnsi="Times New Roman"/>
                      <w:sz w:val="20"/>
                      <w:szCs w:val="20"/>
                    </w:rPr>
                    <w:t>) attached to the phenols at the 3 and 4 positions through a standard Sn2 reaction. The alkylated benzaldehyde can then be converted to an oxime in situ then reduced to the benzylic amine either by nickel/sodium borohydride under basic conditions or using zinc and acetic acid. The overall conversion to amine typical occurs in high yield. The benzylic amine is then reacted with a diisocyanate (</w:t>
                  </w:r>
                  <w:proofErr w:type="gramStart"/>
                  <w:r w:rsidRPr="001F5B5C">
                    <w:rPr>
                      <w:rFonts w:ascii="Times New Roman" w:eastAsia="Times New Roman" w:hAnsi="Times New Roman"/>
                      <w:sz w:val="20"/>
                      <w:szCs w:val="20"/>
                    </w:rPr>
                    <w:t>OCN(</w:t>
                  </w:r>
                  <w:proofErr w:type="gramEnd"/>
                  <w:r w:rsidRPr="001F5B5C">
                    <w:rPr>
                      <w:rFonts w:ascii="Times New Roman" w:eastAsia="Times New Roman" w:hAnsi="Times New Roman"/>
                      <w:sz w:val="20"/>
                      <w:szCs w:val="20"/>
                    </w:rPr>
                    <w:t>CH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x</w:t>
                  </w:r>
                  <w:r w:rsidRPr="001F5B5C">
                    <w:rPr>
                      <w:rFonts w:ascii="Times New Roman" w:eastAsia="Times New Roman" w:hAnsi="Times New Roman"/>
                      <w:sz w:val="20"/>
                      <w:szCs w:val="20"/>
                    </w:rPr>
                    <w:t xml:space="preserve">NCO, x= 6 or 12) to generate the desired bis-urea. Preliminary synthetic yields of the intermediate aldehydes, amines and final bis-ureas will be presented. Initial critical concentration studies of the bis-ureas in common organic solvents (toluene, octane, acetone, ethanol, oil) will be presented along with our interpretation of the molecular interactions responsible for the </w:t>
                  </w:r>
                  <w:proofErr w:type="gramStart"/>
                  <w:r w:rsidRPr="001F5B5C">
                    <w:rPr>
                      <w:rFonts w:ascii="Times New Roman" w:eastAsia="Times New Roman" w:hAnsi="Times New Roman"/>
                      <w:sz w:val="20"/>
                      <w:szCs w:val="20"/>
                    </w:rPr>
                    <w:t>gelators</w:t>
                  </w:r>
                  <w:proofErr w:type="gramEnd"/>
                  <w:r w:rsidRPr="001F5B5C">
                    <w:rPr>
                      <w:rFonts w:ascii="Times New Roman" w:eastAsia="Times New Roman" w:hAnsi="Times New Roman"/>
                      <w:sz w:val="20"/>
                      <w:szCs w:val="20"/>
                    </w:rPr>
                    <w:t xml:space="preserve"> behavior. Of particular note, several bisurea compounds form transparent solid gels well below 1 wt/wt% in toluene placing these compounds in the class of supergelators.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2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2359743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Examining the effects of cis double bond incorpration in the alkyl tail region of bis-urea organogelators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Hiba Bader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hbader13@austincollege.edu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Hiba Bader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Andrew J. Carr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Austin College, Sherman,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Bis-urea organogelators have been studied for over two decades, however in this time frame only straight chain alkyl tails have been incorporated into the structure. In general it is believed that the ureas are the primary functional groups to initiate monomer aggregation. The aggregation continues to grow until you have a thread, which interacts with other threads to create fibers. Once the fibers associate a complex matrix is set and a solid gel is produced. It is the role of the alkyl tails to interact/entangle that ultimately has bearing on the strength of the organogel. The more the threads and fibers entangle the stronger the gel should be. It is believed that by creating more disorder in the alkyl tails more entanglement can be generated and stronger gels may be created. It is the goal of this research to synthesize a variety of bis-urea molecules that incorporate cis double bonds between the 9,10 carbons of an octadodecyl tail to create more disorder in the alkyl tais of these organogelators and test this hypothesis. Bis-urea molecules that contain a cis double bond will then be evaluated for their organogelation capability and compared to the strait chain derivatives. The synthesis of double bond containing gelators as well as the straight chain derivatives will be presented as well as their respective critical concentration for gelation.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2359767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Analysis of the Terpene and Sesquiterpene Hydrocarbons of Lemon and Lime Oils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Majorie Anderson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majorie.anderson@newberry.edu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Majorie Anderson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Newberry College, Newberry,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research is centered on performing different methods on lemons and limes in order to find there terpenes and sesquiterpene hydrocarbons. Terpenes are aromatic hydrocarbons and sesquiterpenes are a group of terpenes that have three isoprene units. During the first method simple distillation of the peels of lemons and limes was used to obtain the essential oils. Each essential oil was then used in column chromatography to isolate the desired components from the mixture. Then the fractions collected during column chromatography were analyzed using gas chromatography and mass spectrum. The results were analyzed and compared between the lemon and lime oil.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2359821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Elucidating the Exciton Transport in Tetracarboalkoxyphenyl Porphyrin thin films for Enhanced Organic Optoelectronics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 Lee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lee16t@ncssm.edu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Daniel Lee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Meesha Kaushal</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Gaurav Singh</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Angy Ortiz</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Jennifer Kassel</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Michael G. Walter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North Carolina School of Science and </w:t>
                  </w:r>
                  <w:proofErr w:type="gramStart"/>
                  <w:r w:rsidRPr="001F5B5C">
                    <w:rPr>
                      <w:rFonts w:ascii="Times New Roman" w:eastAsia="Times New Roman" w:hAnsi="Times New Roman"/>
                      <w:sz w:val="20"/>
                      <w:szCs w:val="20"/>
                    </w:rPr>
                    <w:t>Mathematics ,</w:t>
                  </w:r>
                  <w:proofErr w:type="gramEnd"/>
                  <w:r w:rsidRPr="001F5B5C">
                    <w:rPr>
                      <w:rFonts w:ascii="Times New Roman" w:eastAsia="Times New Roman" w:hAnsi="Times New Roman"/>
                      <w:sz w:val="20"/>
                      <w:szCs w:val="20"/>
                    </w:rPr>
                    <w:t xml:space="preserve"> Durham, NC, United States. </w:t>
                  </w:r>
                  <w:r w:rsidRPr="001F5B5C">
                    <w:rPr>
                      <w:rFonts w:ascii="Times New Roman" w:eastAsia="Times New Roman" w:hAnsi="Times New Roman"/>
                      <w:sz w:val="20"/>
                      <w:szCs w:val="20"/>
                    </w:rPr>
                    <w:br/>
                    <w:t xml:space="preserve">2. University of North Carolina at Charlotte, Charlotte, NC, United States. </w:t>
                  </w:r>
                  <w:r w:rsidRPr="001F5B5C">
                    <w:rPr>
                      <w:rFonts w:ascii="Times New Roman" w:eastAsia="Times New Roman" w:hAnsi="Times New Roman"/>
                      <w:sz w:val="20"/>
                      <w:szCs w:val="20"/>
                    </w:rPr>
                    <w:br/>
                    <w:t xml:space="preserve">3. University of Central Florida, Orlando,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Porphyrin light-harvesting systems have recently shown promise in solar energy conversion applications because of their ability to absorb a broad portion of the solar spectrum and to be easily tuned with peripheral substituents. Four tetracarboalkoxyphenyl porphyrins, 5,10,15,20-Tetrakis(4-carbobutoxyphenyl) porphyrin (TCB</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PP), 5,10,15,20-Tetrakis(4-carbohexoxyphenyl)porphyrin (TCH</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PP), 5,10,15,20-Tetrakis(4-carbooctoxyphenyl)porphyrin (TCO</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PP), and 5,10,15,20-Tetrakis(4-carbo-2-ethylhexoxyphenyl)porphyrin (TCEH</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PP) were synthesized and analyzed as solution-cast thin films. The spectroscopic and excited-state energy transfer dynamics of these materials were examined using time-resolved photoluminescent studies. The photoluminescence (PL) decay of pristine films and those blended with a fullerene quencher (PCBM</w:t>
                  </w:r>
                  <w:proofErr w:type="gramStart"/>
                  <w:r w:rsidRPr="001F5B5C">
                    <w:rPr>
                      <w:rFonts w:ascii="Times New Roman" w:eastAsia="Times New Roman" w:hAnsi="Times New Roman"/>
                      <w:sz w:val="20"/>
                      <w:szCs w:val="20"/>
                    </w:rPr>
                    <w:t>)were</w:t>
                  </w:r>
                  <w:proofErr w:type="gramEnd"/>
                  <w:r w:rsidRPr="001F5B5C">
                    <w:rPr>
                      <w:rFonts w:ascii="Times New Roman" w:eastAsia="Times New Roman" w:hAnsi="Times New Roman"/>
                      <w:sz w:val="20"/>
                      <w:szCs w:val="20"/>
                    </w:rPr>
                    <w:t xml:space="preserve"> used to evaluate the efficiency of the exciton transport. Exciton diffusion lengths (</w:t>
                  </w:r>
                  <w:r w:rsidRPr="001F5B5C">
                    <w:rPr>
                      <w:rFonts w:ascii="Times New Roman" w:eastAsia="Times New Roman" w:hAnsi="Times New Roman"/>
                      <w:i/>
                      <w:iCs/>
                      <w:sz w:val="20"/>
                      <w:szCs w:val="20"/>
                    </w:rPr>
                    <w:t>L</w:t>
                  </w:r>
                  <w:r w:rsidRPr="001F5B5C">
                    <w:rPr>
                      <w:rFonts w:ascii="Times New Roman" w:eastAsia="Times New Roman" w:hAnsi="Times New Roman"/>
                      <w:sz w:val="20"/>
                      <w:szCs w:val="20"/>
                      <w:vertAlign w:val="subscript"/>
                    </w:rPr>
                    <w:t>D</w:t>
                  </w:r>
                  <w:r w:rsidRPr="001F5B5C">
                    <w:rPr>
                      <w:rFonts w:ascii="Times New Roman" w:eastAsia="Times New Roman" w:hAnsi="Times New Roman"/>
                      <w:sz w:val="20"/>
                      <w:szCs w:val="20"/>
                    </w:rPr>
                    <w:t>) were obtained by fitting the (PL) decay of pristine porphyrin films and films containing small amounts PCBM to a 3D Monte Carlo exciton hopping model. The effects of heat treatment on diffusion length and steady state fluorescence emission were studied to develop a deeper understanding of composition and morphologies of porphyrins in thin films.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2360213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Development of Lipid Probe for Labeling and Discovering Lipid-Binding Proteins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Jacob O'Leary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jmoleary@bsc.edu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Jacob M. O'Leary</w:t>
                  </w:r>
                  <w:r w:rsidRPr="001F5B5C">
                    <w:rPr>
                      <w:rFonts w:ascii="Times New Roman" w:eastAsia="Times New Roman" w:hAnsi="Times New Roman"/>
                      <w:sz w:val="20"/>
                      <w:szCs w:val="20"/>
                      <w:vertAlign w:val="superscript"/>
                    </w:rPr>
                    <w:t>1, 3</w:t>
                  </w:r>
                  <w:r w:rsidRPr="001F5B5C">
                    <w:rPr>
                      <w:rFonts w:ascii="Times New Roman" w:eastAsia="Times New Roman" w:hAnsi="Times New Roman"/>
                      <w:sz w:val="20"/>
                      <w:szCs w:val="20"/>
                    </w:rPr>
                    <w:t>, Michael Best</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Birmingham-Southern College, Birmingham, AL, United States. </w:t>
                  </w:r>
                  <w:r w:rsidRPr="001F5B5C">
                    <w:rPr>
                      <w:rFonts w:ascii="Times New Roman" w:eastAsia="Times New Roman" w:hAnsi="Times New Roman"/>
                      <w:sz w:val="20"/>
                      <w:szCs w:val="20"/>
                    </w:rPr>
                    <w:br/>
                    <w:t xml:space="preserve">2. The University of Tennessee, Knoxville, TN, United States. </w:t>
                  </w:r>
                  <w:r w:rsidRPr="001F5B5C">
                    <w:rPr>
                      <w:rFonts w:ascii="Times New Roman" w:eastAsia="Times New Roman" w:hAnsi="Times New Roman"/>
                      <w:sz w:val="20"/>
                      <w:szCs w:val="20"/>
                    </w:rPr>
                    <w:br/>
                    <w:t xml:space="preserve">3. Chemistry, University of Tennessee, Knoxville,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Lipids are important biomolecules due to their involvement in many key biological pathways. By binding proteins on the surfaces of cell membranes, lipids localize and alter the function of those proteins. One such biologically significant lipid is diacylglycerol (DAG), which binds in this way to certain members of the protein kinase C (PKC) family, a group of related proteins that regulate cell growth and are directly linked to tumor formation, as well as to diabetes. Synthetic DAG analogues, or probes, are tools that allow for the elucidation of protein-DAG binding. The aim of our present study is to synthesize a novel DAG activity probe that contains a photoaffinity tag for covalent labeling of bound proteins as well as two azide tags, which can be conveniently modified after labeling </w:t>
                  </w:r>
                  <w:r w:rsidRPr="001F5B5C">
                    <w:rPr>
                      <w:rFonts w:ascii="Times New Roman" w:eastAsia="Times New Roman" w:hAnsi="Times New Roman"/>
                      <w:i/>
                      <w:iCs/>
                      <w:sz w:val="20"/>
                      <w:szCs w:val="20"/>
                    </w:rPr>
                    <w:t>via</w:t>
                  </w:r>
                  <w:r w:rsidRPr="001F5B5C">
                    <w:rPr>
                      <w:rFonts w:ascii="Times New Roman" w:eastAsia="Times New Roman" w:hAnsi="Times New Roman"/>
                      <w:sz w:val="20"/>
                      <w:szCs w:val="20"/>
                    </w:rPr>
                    <w:t xml:space="preserve"> “click chemistry” to introduce chemical handles that allow us to visualize and identify DAG-bound proteins. This probe will be incorporated into liposome studies leading to the identification of DAG-binding proteins in complex biological samples. Additionally, the nature of this DAG probe will allow for future synthetic steps toward probes corresponding to more structurally complex lipids, such as phosphatidic acid (PA), phosphatidylserine (PS) and the phosphoinositides (PIP</w:t>
                  </w:r>
                  <w:r w:rsidRPr="001F5B5C">
                    <w:rPr>
                      <w:rFonts w:ascii="Times New Roman" w:eastAsia="Times New Roman" w:hAnsi="Times New Roman"/>
                      <w:sz w:val="20"/>
                      <w:szCs w:val="20"/>
                      <w:vertAlign w:val="subscript"/>
                    </w:rPr>
                    <w:t>n</w:t>
                  </w:r>
                  <w:r w:rsidRPr="001F5B5C">
                    <w:rPr>
                      <w:rFonts w:ascii="Times New Roman" w:eastAsia="Times New Roman" w:hAnsi="Times New Roman"/>
                      <w:sz w:val="20"/>
                      <w:szCs w:val="20"/>
                    </w:rPr>
                    <w: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2360575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Polycyclic Compounds using NHC-Borenium 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Kendall Heitmeier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kheitmeier13@austincollege.edu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Kendall Heitmeier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Ryan J. Felix</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Austin College, Knollwood,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purpose of this research is the biomimetic cyclization of polycyclic compounds from acyclic carbon chains, using NHC-borenium ions. NHCs have been shown to be good ligands for borenium ions that create a very strong Lewis acid due to the combination of a positive charge with electrophilic boron’s empty p-orbital. Current polycyclic compound cyclization methods can be successful with a range of polyene chains, but have known limitations. It is hypothesized that NHC-borenium ions may enable a new method for the synthesis of polycyclic compounds. This work presents the initial results of substrate synthesis towards the investigation of polyene cyclization.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2360645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Cyclic Voltammetry of Quinones in pH 7 Buffered Aqueous Solution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Mary Booker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ssb832@mocs.utc.edu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Mary E. Booker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Jisook Kim</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Tennessee at Chattanooga, Chattanooga, TN, United States. </w:t>
                  </w:r>
                  <w:r w:rsidRPr="001F5B5C">
                    <w:rPr>
                      <w:rFonts w:ascii="Times New Roman" w:eastAsia="Times New Roman" w:hAnsi="Times New Roman"/>
                      <w:sz w:val="20"/>
                      <w:szCs w:val="20"/>
                    </w:rPr>
                    <w:br/>
                    <w:t xml:space="preserve">2. Chemistry Dept 2252 114 CANX, University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Our laboratory studied the electrochemical properties of selected quinones using cyclic voltammetry. Each quinone was solubilized at varying concentrations in an aqueous solvent of phosphate buffer (pH 7). We focused on documenting both the formal reduction potential values and the ratio between peak current values. When subjected to CV scans, </w:t>
                  </w:r>
                  <w:r w:rsidRPr="001F5B5C">
                    <w:rPr>
                      <w:rFonts w:ascii="Times New Roman" w:eastAsia="Times New Roman" w:hAnsi="Times New Roman"/>
                      <w:i/>
                      <w:iCs/>
                      <w:sz w:val="20"/>
                      <w:szCs w:val="20"/>
                    </w:rPr>
                    <w:t>tetra</w:t>
                  </w:r>
                  <w:r w:rsidRPr="001F5B5C">
                    <w:rPr>
                      <w:rFonts w:ascii="Times New Roman" w:eastAsia="Times New Roman" w:hAnsi="Times New Roman"/>
                      <w:sz w:val="20"/>
                      <w:szCs w:val="20"/>
                    </w:rPr>
                    <w:t>-chlorobenzoquinone (TCBQ) exhibited the highest formal reduction potential under our experimental conditions. 2-hydroxy-1</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-naphthoquinone (HNQ) exhibited the lowest formal reduction potential value. A 1:1 ratio between the peak current values, as seen with HNQ, indicated a fully reversible system, whereas the absence of 1:1 ratio feature, as in TCBQ, indicated an irreversible system. These results signified that quinones with a higher formal reduction potential value exhibit higher chemical reactivity than those with lower formal reduction potential values. Therefore, our findings correlate to previous documentation of quinones’ biological reactivity in terms of inducing protein modifications.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2360730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Synthesis of </w:t>
                  </w:r>
                  <w:r w:rsidRPr="001F5B5C">
                    <w:rPr>
                      <w:rFonts w:ascii="Times New Roman" w:eastAsia="Times New Roman" w:hAnsi="Times New Roman"/>
                      <w:b/>
                      <w:bCs/>
                      <w:i/>
                      <w:iCs/>
                      <w:sz w:val="20"/>
                      <w:szCs w:val="20"/>
                    </w:rPr>
                    <w:t>N</w:t>
                  </w:r>
                  <w:r w:rsidRPr="001F5B5C">
                    <w:rPr>
                      <w:rFonts w:ascii="Times New Roman" w:eastAsia="Times New Roman" w:hAnsi="Times New Roman"/>
                      <w:b/>
                      <w:bCs/>
                      <w:sz w:val="20"/>
                      <w:szCs w:val="20"/>
                    </w:rPr>
                    <w:t>-acetyl oligopeptides and their methyl ester derivatives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Joan Ndungu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jndungu1@students.kennesaw.edu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Joan Ndungu</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N. Haseltine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Biochemistry, Kennesaw State University, Kennesaw,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main goal of the project is to examine how the kinetics of proteolysis under acidic conditions (non-enzymatically and enzymatically by HIV-1 protease) depend on substrate length. To investigate this, we have been synthesizing a series of homologous oligopeptides of varying lengths. HIV-1 protease is specific for hydrophobic residues and thus the target compounds have a –Phe-OMe or –Leu-OMe terminus that mimics the sites where HIV-1 protease cleaves its natural substrate, the HIV-polyprotein. The synthetic approach includes a combination of methods like acetylation, Fischer esterification, and peptide bond formation using conventional coupling agents. For example, acetylation of leucine and two dipeptides was performed to give the intermediates Ac-Gly-Gly-OH, Ac-Gly-Leu-OH, and Ac-Leu-OH. Fischer esterification was then used to synthesize Ac-Gly-Leu-OMe and Ac-Leu-OMe. The results thus far show that varying the acid concentration has effects on the rate of esterification. Conventional peptide bond-forming reactions to synthesize targets like Ac-Gly-Gly-Phe-OMe will also be performed. After synthesis of the products,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 NMR spectroscopy is used to characterize the reactivity of products. The analyses will provide information that can be used to better understand reaction mechanisms of protein strands.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2360747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oligopeptides to be subjected to HIV-1 protease cleavage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Tiffiany Law</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tiffianylaw@gmail.com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Tiffiany Law</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N. Haseltine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Biochemistry, Kennesaw State University, Kennesaw,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HIV-1 protease tends to cleave its substrate at positions next to larger hydrophobic side chains. By the use of eight synthetic oligopeptides esters varying in length and containing such side chains, we can test whether HIV-1 protease tends to cleave longer chains faster than smaller ones and how it does so. Our synthetic methods include acetylation and Fischer esterification of specific amino acids and oligopeptides. The desired oligopeptides include: Ac-(Gly</w:t>
                  </w:r>
                  <w:proofErr w:type="gramStart"/>
                  <w:r w:rsidRPr="001F5B5C">
                    <w:rPr>
                      <w:rFonts w:ascii="Times New Roman" w:eastAsia="Times New Roman" w:hAnsi="Times New Roman"/>
                      <w:sz w:val="20"/>
                      <w:szCs w:val="20"/>
                    </w:rPr>
                    <w:t>)</w:t>
                  </w:r>
                  <w:r w:rsidRPr="001F5B5C">
                    <w:rPr>
                      <w:rFonts w:ascii="Times New Roman" w:eastAsia="Times New Roman" w:hAnsi="Times New Roman"/>
                      <w:i/>
                      <w:iCs/>
                      <w:sz w:val="20"/>
                      <w:szCs w:val="20"/>
                      <w:vertAlign w:val="subscript"/>
                    </w:rPr>
                    <w:t>n</w:t>
                  </w:r>
                  <w:proofErr w:type="gramEnd"/>
                  <w:r w:rsidRPr="001F5B5C">
                    <w:rPr>
                      <w:rFonts w:ascii="Times New Roman" w:eastAsia="Times New Roman" w:hAnsi="Times New Roman"/>
                      <w:sz w:val="20"/>
                      <w:szCs w:val="20"/>
                    </w:rPr>
                    <w:t>-Leu-OMe and Ac-(Gly)</w:t>
                  </w:r>
                  <w:r w:rsidRPr="001F5B5C">
                    <w:rPr>
                      <w:rFonts w:ascii="Times New Roman" w:eastAsia="Times New Roman" w:hAnsi="Times New Roman"/>
                      <w:i/>
                      <w:iCs/>
                      <w:sz w:val="20"/>
                      <w:szCs w:val="20"/>
                      <w:vertAlign w:val="subscript"/>
                    </w:rPr>
                    <w:t>n</w:t>
                  </w:r>
                  <w:r w:rsidRPr="001F5B5C">
                    <w:rPr>
                      <w:rFonts w:ascii="Times New Roman" w:eastAsia="Times New Roman" w:hAnsi="Times New Roman"/>
                      <w:sz w:val="20"/>
                      <w:szCs w:val="20"/>
                    </w:rPr>
                    <w:t xml:space="preserve">-Phe-OMe, where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 xml:space="preserve"> = 0-3. Long-term goals of this research are to subject these esters to cleavage by HIV-1 protease to determine the enzyme’s selectivity in reference to substrate length and to investigate the enthalpy and entropy of activation for the enzymatic and non-enzymatic cleavage of oligopeptides. The immediate goal is the successful synthesis of all of the targeted esters. </w:t>
                  </w:r>
                  <w:proofErr w:type="gramStart"/>
                  <w:r w:rsidRPr="001F5B5C">
                    <w:rPr>
                      <w:rFonts w:ascii="Times New Roman" w:eastAsia="Times New Roman" w:hAnsi="Times New Roman"/>
                      <w:sz w:val="20"/>
                      <w:szCs w:val="20"/>
                    </w:rPr>
                    <w:t>Preliminary results shows</w:t>
                  </w:r>
                  <w:proofErr w:type="gramEnd"/>
                  <w:r w:rsidRPr="001F5B5C">
                    <w:rPr>
                      <w:rFonts w:ascii="Times New Roman" w:eastAsia="Times New Roman" w:hAnsi="Times New Roman"/>
                      <w:sz w:val="20"/>
                      <w:szCs w:val="20"/>
                    </w:rPr>
                    <w:t xml:space="preserve"> that we can successfully acetylate di- and tripeptides. Fischer esterifications of acetylated oligopeptides have posed some complications requiring further experiments.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2360765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multi-step synthesis of the tripeptides Ac-Sar-Sar-Sar-OEt and Ac-Sar-Sar-Pro-OEt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Krupa Patel | Christina Taylor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kpatel67@students.kennesaw.edu | ctaylo81@students.kennesaw.edu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Krupa Patel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Christina Taylor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John N. Haseltine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Biochemistry, Kennesaw State University, Kennesaw,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poster begins with a review of a conformational analysis of serine proteases and some of the kinetics data obtained by our group for a non-enzymatic solvolysis of oligopeptides. We also present progress toward a short-term goal of synthesizing two tripeptides, Ac-Sar-Sar-Sar-OEt and Ac-Sar-Sar-Pro-OEt. Solvolytic studies of several such oligopeptides should help us to understand observed effects of long-range structure on relative reactivity. The results may also help to explain the influence of structural factors in corresponding enzymatic studies.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2360777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Kinetics of Tripeptide Ester Methanolysis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Cody Padgett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cpadge14@students.kennesaw.edu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Cody L. Padgett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Sarah Knapp</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John N. Haseltine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Biochemistry, Kennesaw State University, Kennesaw, GA, United States. </w:t>
                  </w:r>
                  <w:r w:rsidRPr="001F5B5C">
                    <w:rPr>
                      <w:rFonts w:ascii="Times New Roman" w:eastAsia="Times New Roman" w:hAnsi="Times New Roman"/>
                      <w:sz w:val="20"/>
                      <w:szCs w:val="20"/>
                    </w:rPr>
                    <w:br/>
                    <w:t xml:space="preserve">2. Dept of Nursing, Kennesaw State University, Kennesaw,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project is investigating the substrate length dependence of solvolysis kinetics for a series of tripeptide esters. Progress has been made towards completing the syntheses and collecting kinetics data for the fifteen tripeptide esters we have selected. For proteases in general, the phenomenon of hydrolysis rates increasing with substrate lengths has often been observed. We have reported that a similar rate enhancement phenomenon is observed in the absence of the enzymes and also that there are extensive alignments of atomic orbitals in crystal structures of serine proteases. It seems that these effects are inherent to the fundamental structure of proteins. Our tripeptide study will better characterize this property of proteins and give us more insight into both its mechanism and the roles it may play in enzymatic catalysis.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3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2360797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Synthesis and Activation of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-Heterocyclic Carbene Boranes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Rohail Rahman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rrahman13@austincollege.edu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Rohail Rahman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Ryan J. Felix</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Austin College, Knollwood,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Boron is an important element in organic chemistry because it is prevalent in many organic reactions, such as hydroboration-oxidation reactions and Suzuki cross-coupling reactions. The goal of this work is to show that borylation of a carbon-hydrogen bond into a carbon-boron bond is possible through the use of the borenium ion. The formation of the desired diamido NHC-borane proved quite difficult to accomplish. However, the use of a commercially available NHC, without electron withdrawing groups or large steric groups proved to be successful for the synthesis of an NHC-</w:t>
                  </w:r>
                  <w:proofErr w:type="gramStart"/>
                  <w:r w:rsidRPr="001F5B5C">
                    <w:rPr>
                      <w:rFonts w:ascii="Times New Roman" w:eastAsia="Times New Roman" w:hAnsi="Times New Roman"/>
                      <w:sz w:val="20"/>
                      <w:szCs w:val="20"/>
                    </w:rPr>
                    <w:t>borane .</w:t>
                  </w:r>
                  <w:proofErr w:type="gramEnd"/>
                  <w:r w:rsidRPr="001F5B5C">
                    <w:rPr>
                      <w:rFonts w:ascii="Times New Roman" w:eastAsia="Times New Roman" w:hAnsi="Times New Roman"/>
                      <w:sz w:val="20"/>
                      <w:szCs w:val="20"/>
                    </w:rPr>
                    <w:t xml:space="preserve"> Further investigations must be performed to synthesize the NHC-borane with various NHC backbones in order to determine steric and electronic effects of various backbones on the molecules.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2361026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Synthesis, Design, and Computational Analysis of a Novel Multifunctional Porphyrin-Thiazolothiazole Framework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 Lee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lee16t@ncssm.edu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Daniel Lee</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North Carolina School of Science and Mathematics, Durham, NC, United States. </w:t>
                  </w:r>
                  <w:r w:rsidRPr="001F5B5C">
                    <w:rPr>
                      <w:rFonts w:ascii="Times New Roman" w:eastAsia="Times New Roman" w:hAnsi="Times New Roman"/>
                      <w:sz w:val="20"/>
                      <w:szCs w:val="20"/>
                    </w:rPr>
                    <w:br/>
                    <w:t xml:space="preserve">2. Department of Chemistry, UNC-Charlotte, Charlotte,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Organic photovoltaics are at the forefront of renewable energy conversion because of cheap cost, nontoxicity, scalability, and rising efficiencies. Porphyrin light-harvesting systems have recently shown promse in solar energy conversion because of their abilities to absorb a broad portion of the solar spectrum and to be easily tuned with peripheral substituents. However, porphyrins are plagued with low </w:t>
                  </w:r>
                  <w:proofErr w:type="gramStart"/>
                  <w:r w:rsidRPr="001F5B5C">
                    <w:rPr>
                      <w:rFonts w:ascii="Times New Roman" w:eastAsia="Times New Roman" w:hAnsi="Times New Roman"/>
                      <w:sz w:val="20"/>
                      <w:szCs w:val="20"/>
                    </w:rPr>
                    <w:t>hole</w:t>
                  </w:r>
                  <w:proofErr w:type="gramEnd"/>
                  <w:r w:rsidRPr="001F5B5C">
                    <w:rPr>
                      <w:rFonts w:ascii="Times New Roman" w:eastAsia="Times New Roman" w:hAnsi="Times New Roman"/>
                      <w:sz w:val="20"/>
                      <w:szCs w:val="20"/>
                    </w:rPr>
                    <w:t xml:space="preserve"> mobilities. The thiazolothiazole molecule possesses one of the highest reported </w:t>
                  </w:r>
                  <w:proofErr w:type="gramStart"/>
                  <w:r w:rsidRPr="001F5B5C">
                    <w:rPr>
                      <w:rFonts w:ascii="Times New Roman" w:eastAsia="Times New Roman" w:hAnsi="Times New Roman"/>
                      <w:sz w:val="20"/>
                      <w:szCs w:val="20"/>
                    </w:rPr>
                    <w:t>hole</w:t>
                  </w:r>
                  <w:proofErr w:type="gramEnd"/>
                  <w:r w:rsidRPr="001F5B5C">
                    <w:rPr>
                      <w:rFonts w:ascii="Times New Roman" w:eastAsia="Times New Roman" w:hAnsi="Times New Roman"/>
                      <w:sz w:val="20"/>
                      <w:szCs w:val="20"/>
                    </w:rPr>
                    <w:t xml:space="preserve"> mobilities in small molecules. By coupling electron deficient thiazolothiazole and electric rich porphyrins, two new novel electron donor-acceptor-donor (DAD) and acceptor-donor-acceptor (ADA) motifs are created. Excitons quickly transfer to the electron deficient portion of the molecule, enabling better charge separation and improved charge mobility. Absorption and fluorescence spectra, fluorescence quantum yields, density functional theory calculations, time dependent density functional calculations, and exciton diffusion length measurements lead to conclusions that donor-acceptor motifs extend the lifetime of excitons and additionally may serve purposeful in organic optoelectronics.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2361672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Synthesis of novel benzoisothiazolone organocatalysts for dehydrative condensation reactions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Mariko Morimoto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mariko.morimoto94@emory.edu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Mariko Morimoto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Lanny S. Liebeskind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Pavan Gangireddy Reddy</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Emory University, Atlanta, GA, United States. </w:t>
                  </w:r>
                  <w:r w:rsidRPr="001F5B5C">
                    <w:rPr>
                      <w:rFonts w:ascii="Times New Roman" w:eastAsia="Times New Roman" w:hAnsi="Times New Roman"/>
                      <w:sz w:val="20"/>
                      <w:szCs w:val="20"/>
                    </w:rPr>
                    <w:br/>
                    <w:t xml:space="preserve">2. Chemistry, Emory University,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oxidation-reduction condensation reactions, loss of water can be driven stoichiometrically through the use of an organic reductant—most typically triphenylphosphine—and an organic oxidant. These traditional dehydration methods, however, are largely wasteful processes that are additionally accompanied by the use of hazardous oxidants and inseparable products. The objective of this project is to streamline redox dehydration reactions by optimizing a catalytic approach that involves the coupling of an organocatalytic benzoisothiazolone (BIT) as the oxidant and 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in the air as the terminal oxidant with triethylphosphite as the reductant (instead of triphenylphosphine), thus eliminating chemical waste and enhancing energy efficiency. Catalytic efficacy can be improved by manipulating the electronic and substituent effects that come from the different functional groups and substitutents on the basic BIT framework. In this study, three novel BIT compounds were synthesized, of which the 5-nitro-2-(pyridin-2-yl</w:t>
                  </w:r>
                  <w:proofErr w:type="gramStart"/>
                  <w:r w:rsidRPr="001F5B5C">
                    <w:rPr>
                      <w:rFonts w:ascii="Times New Roman" w:eastAsia="Times New Roman" w:hAnsi="Times New Roman"/>
                      <w:sz w:val="20"/>
                      <w:szCs w:val="20"/>
                    </w:rPr>
                    <w:t>)benzo</w:t>
                  </w:r>
                  <w:proofErr w:type="gramEnd"/>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d</w:t>
                  </w:r>
                  <w:r w:rsidRPr="001F5B5C">
                    <w:rPr>
                      <w:rFonts w:ascii="Times New Roman" w:eastAsia="Times New Roman" w:hAnsi="Times New Roman"/>
                      <w:sz w:val="20"/>
                      <w:szCs w:val="20"/>
                    </w:rPr>
                    <w:t>]isothiazol-3(2</w:t>
                  </w:r>
                  <w:r w:rsidRPr="001F5B5C">
                    <w:rPr>
                      <w:rFonts w:ascii="Times New Roman" w:eastAsia="Times New Roman" w:hAnsi="Times New Roman"/>
                      <w:i/>
                      <w:iCs/>
                      <w:sz w:val="20"/>
                      <w:szCs w:val="20"/>
                    </w:rPr>
                    <w:t>H</w:t>
                  </w:r>
                  <w:r w:rsidRPr="001F5B5C">
                    <w:rPr>
                      <w:rFonts w:ascii="Times New Roman" w:eastAsia="Times New Roman" w:hAnsi="Times New Roman"/>
                      <w:sz w:val="20"/>
                      <w:szCs w:val="20"/>
                    </w:rPr>
                    <w:t xml:space="preserve">)-one is expected to have the most advanced catalytic properties based on previous results obtained by the Liebeskind group. Relevant compounds were characterized using </w:t>
                  </w:r>
                  <w:r w:rsidRPr="001F5B5C">
                    <w:rPr>
                      <w:rFonts w:ascii="Times New Roman" w:eastAsia="Times New Roman" w:hAnsi="Times New Roman"/>
                      <w:sz w:val="20"/>
                      <w:szCs w:val="20"/>
                      <w:vertAlign w:val="superscript"/>
                    </w:rPr>
                    <w:t>13</w:t>
                  </w:r>
                  <w:r w:rsidRPr="001F5B5C">
                    <w:rPr>
                      <w:rFonts w:ascii="Times New Roman" w:eastAsia="Times New Roman" w:hAnsi="Times New Roman"/>
                      <w:sz w:val="20"/>
                      <w:szCs w:val="20"/>
                    </w:rPr>
                    <w:t>CNMR, HNMR, IR, and mass spectroscopy as well as X-ray crystallography. Several synthesis pathways, particularly for the synthesis of nitro-substituted BITs with electron withdrawing group functionalization, were identified and optimized, elucidating the path for further BIT synthesis and thus a Greener catalytic cycle.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2362326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Novel Deoxygenation Dimerization of Benzoisothiazolones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Juan Cisneros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juandm3@yahoo.com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Juan D. Cisneros</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Lanny S. Liebeskind</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xml:space="preserve">, PavanKumar R. Gangireddy </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Emory University, Atlanta, GA, United States. </w:t>
                  </w:r>
                  <w:r w:rsidRPr="001F5B5C">
                    <w:rPr>
                      <w:rFonts w:ascii="Times New Roman" w:eastAsia="Times New Roman" w:hAnsi="Times New Roman"/>
                      <w:sz w:val="20"/>
                      <w:szCs w:val="20"/>
                    </w:rPr>
                    <w:br/>
                    <w:t xml:space="preserve">2. Chemistry, Emory University,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Liebeskind Laboratory is exploring the use of benzoisothiazolones (BITs) as organic oxidants for various synthetic organic applications. As part of that study we are investigating the redox reaction of benzoisothiazolones with </w:t>
                  </w:r>
                  <w:proofErr w:type="gramStart"/>
                  <w:r w:rsidRPr="001F5B5C">
                    <w:rPr>
                      <w:rFonts w:ascii="Times New Roman" w:eastAsia="Times New Roman" w:hAnsi="Times New Roman"/>
                      <w:sz w:val="20"/>
                      <w:szCs w:val="20"/>
                    </w:rPr>
                    <w:t>P(</w:t>
                  </w:r>
                  <w:proofErr w:type="gramEnd"/>
                  <w:r w:rsidRPr="001F5B5C">
                    <w:rPr>
                      <w:rFonts w:ascii="Times New Roman" w:eastAsia="Times New Roman" w:hAnsi="Times New Roman"/>
                      <w:sz w:val="20"/>
                      <w:szCs w:val="20"/>
                    </w:rPr>
                    <w:t xml:space="preserve">III) reducing agents, such as triethylphosphite. </w:t>
                  </w:r>
                  <w:proofErr w:type="gramStart"/>
                  <w:r w:rsidRPr="001F5B5C">
                    <w:rPr>
                      <w:rFonts w:ascii="Times New Roman" w:eastAsia="Times New Roman" w:hAnsi="Times New Roman"/>
                      <w:sz w:val="20"/>
                      <w:szCs w:val="20"/>
                    </w:rPr>
                    <w:t>Reacting</w:t>
                  </w:r>
                  <w:proofErr w:type="gramEnd"/>
                  <w:r w:rsidRPr="001F5B5C">
                    <w:rPr>
                      <w:rFonts w:ascii="Times New Roman" w:eastAsia="Times New Roman" w:hAnsi="Times New Roman"/>
                      <w:sz w:val="20"/>
                      <w:szCs w:val="20"/>
                    </w:rPr>
                    <w:t xml:space="preserve"> these two substrates in solution produces an unexpected and interesting product resulting from a deoxygenation and dimerization process of the BIT.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My study focuses on the scope of this dimerization reaction with the intent to explore its generality and optimize the reaction conditions for production of the deoxygenation-dimer. Running these reactions at varying temperatures, in various solvents, and with various BIT molecules will provide a deeper understanding of the processes and help deliver a general and efficient reaction. Reactants, reaction progression, and products were analyzed and characterized using thin layer chromatography,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 </w:t>
                  </w:r>
                  <w:r w:rsidRPr="001F5B5C">
                    <w:rPr>
                      <w:rFonts w:ascii="Times New Roman" w:eastAsia="Times New Roman" w:hAnsi="Times New Roman"/>
                      <w:sz w:val="20"/>
                      <w:szCs w:val="20"/>
                      <w:vertAlign w:val="superscript"/>
                    </w:rPr>
                    <w:t>31</w:t>
                  </w:r>
                  <w:r w:rsidRPr="001F5B5C">
                    <w:rPr>
                      <w:rFonts w:ascii="Times New Roman" w:eastAsia="Times New Roman" w:hAnsi="Times New Roman"/>
                      <w:sz w:val="20"/>
                      <w:szCs w:val="20"/>
                    </w:rPr>
                    <w:t xml:space="preserve">P, and </w:t>
                  </w:r>
                  <w:r w:rsidRPr="001F5B5C">
                    <w:rPr>
                      <w:rFonts w:ascii="Times New Roman" w:eastAsia="Times New Roman" w:hAnsi="Times New Roman"/>
                      <w:sz w:val="20"/>
                      <w:szCs w:val="20"/>
                      <w:vertAlign w:val="superscript"/>
                    </w:rPr>
                    <w:t>13</w:t>
                  </w:r>
                  <w:r w:rsidRPr="001F5B5C">
                    <w:rPr>
                      <w:rFonts w:ascii="Times New Roman" w:eastAsia="Times New Roman" w:hAnsi="Times New Roman"/>
                      <w:sz w:val="20"/>
                      <w:szCs w:val="20"/>
                    </w:rPr>
                    <w:t>C Nuclear Magnetic Resonance spectroscopy. Further analysis was done using infrared spectroscopy, mass spectrometry, and X-Ray crystallography. Additional study will help understand differences in yields and extraction difficulties and arrive at a general and informative library of BIT-deoxygenation dimers. Having a comprehensive library will then allow for the study of these C-2 symmetric BIT deoxygenation-dimers as C-2 symmetric ligands in metal complexes for possible asymmetric enantiocontrolled metal catalyzed reactions.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References</w:t>
                  </w:r>
                  <w:r w:rsidRPr="001F5B5C">
                    <w:rPr>
                      <w:rFonts w:ascii="Times New Roman" w:eastAsia="Times New Roman" w:hAnsi="Times New Roman"/>
                      <w:sz w:val="20"/>
                      <w:szCs w:val="20"/>
                    </w:rPr>
                    <w:br/>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Unpublished results of Dr. PavanKumar R. Gangireddy, Liebeskind Laboratory.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2362660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Optimization of Direct Arylation of 1,2,3-Triazoles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Alexis Kosiak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akosiak@emory.edu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Alexis Kosiak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Annette Neuman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Emory University, Atlanta, GA, United States. </w:t>
                  </w:r>
                  <w:r w:rsidRPr="001F5B5C">
                    <w:rPr>
                      <w:rFonts w:ascii="Times New Roman" w:eastAsia="Times New Roman" w:hAnsi="Times New Roman"/>
                      <w:sz w:val="20"/>
                      <w:szCs w:val="20"/>
                    </w:rPr>
                    <w:br/>
                    <w:t xml:space="preserve">2. Emory University,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br/>
                    <w:t>Heterocyclic compounds are of great importance in organic and medicinal chemistry. The triazole motif is of particular interest due to its presence in diverse therapeutic compounds. The triazole moiety can act as an isostere for the pyrimidine group and displays versatile biological activities. 1</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 xml:space="preserve">-Disubstituted-1,2,3-triazoles have classically been synthesized </w:t>
                  </w:r>
                  <w:r w:rsidRPr="001F5B5C">
                    <w:rPr>
                      <w:rFonts w:ascii="Times New Roman" w:eastAsia="Times New Roman" w:hAnsi="Times New Roman"/>
                      <w:i/>
                      <w:iCs/>
                      <w:sz w:val="20"/>
                      <w:szCs w:val="20"/>
                    </w:rPr>
                    <w:t xml:space="preserve">via </w:t>
                  </w:r>
                  <w:r w:rsidRPr="001F5B5C">
                    <w:rPr>
                      <w:rFonts w:ascii="Times New Roman" w:eastAsia="Times New Roman" w:hAnsi="Times New Roman"/>
                      <w:sz w:val="20"/>
                      <w:szCs w:val="20"/>
                    </w:rPr>
                    <w:t>the azide-alkyne Husigen cycloaddition reaction. The drawback of this method is that it often produces mixtures of the 1</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 and 1,5-disubstituted regioisomers. Further, cycloaddition does not facilitate substitution of diverse functionalities. Therefore, we seek to develop a method for the preparation of 1</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 xml:space="preserve">-disubstituted 1,2,3-triazoles </w:t>
                  </w:r>
                  <w:r w:rsidRPr="001F5B5C">
                    <w:rPr>
                      <w:rFonts w:ascii="Times New Roman" w:eastAsia="Times New Roman" w:hAnsi="Times New Roman"/>
                      <w:i/>
                      <w:iCs/>
                      <w:sz w:val="20"/>
                      <w:szCs w:val="20"/>
                    </w:rPr>
                    <w:t>via</w:t>
                  </w:r>
                  <w:r w:rsidRPr="001F5B5C">
                    <w:rPr>
                      <w:rFonts w:ascii="Times New Roman" w:eastAsia="Times New Roman" w:hAnsi="Times New Roman"/>
                      <w:sz w:val="20"/>
                      <w:szCs w:val="20"/>
                    </w:rPr>
                    <w:t xml:space="preserve"> a C-H activation strategy. A simple </w:t>
                  </w:r>
                  <w:proofErr w:type="gramStart"/>
                  <w:r w:rsidRPr="001F5B5C">
                    <w:rPr>
                      <w:rFonts w:ascii="Times New Roman" w:eastAsia="Times New Roman" w:hAnsi="Times New Roman"/>
                      <w:sz w:val="20"/>
                      <w:szCs w:val="20"/>
                    </w:rPr>
                    <w:t>Pd(</w:t>
                  </w:r>
                  <w:proofErr w:type="gramEnd"/>
                  <w:r w:rsidRPr="001F5B5C">
                    <w:rPr>
                      <w:rFonts w:ascii="Times New Roman" w:eastAsia="Times New Roman" w:hAnsi="Times New Roman"/>
                      <w:sz w:val="20"/>
                      <w:szCs w:val="20"/>
                    </w:rPr>
                    <w:t>OAc)</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-catalyzed oxidative coupling of 1,3,4-oxadiazoles with various aryl groups has recently been described; we seek to extend this methodology to the synthesis of disubstituted triazoles. Such a procedure could subsequently be applied to the synthesis of medicinally important triazoles.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2362738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Selective mono-reduction of conjugated ester functional groups using lithium borohydride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Walter Rice | Lauren Miller | William Kwochka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wprice1@catamount.wcu.edu | lbmiller1@catamount.wcu.edu | kwochka@email.wcu.edu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Walter P. Rice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Lauren Miller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William Kwochka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Western Carolina University, Cullowhee,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Regioselectivity in organic functional group transformations is an essential component to the efficient production of interesting and useful molecules. In our research we are able to selectively reduce one ester functional group in the presence of a chemically identical ester within a variety of aromatic diesters using </w:t>
                  </w:r>
                  <w:r w:rsidRPr="001F5B5C">
                    <w:rPr>
                      <w:rFonts w:ascii="Times New Roman" w:eastAsia="Times New Roman" w:hAnsi="Times New Roman"/>
                      <w:i/>
                      <w:iCs/>
                      <w:sz w:val="20"/>
                      <w:szCs w:val="20"/>
                    </w:rPr>
                    <w:t>in-situ</w:t>
                  </w:r>
                  <w:r w:rsidRPr="001F5B5C">
                    <w:rPr>
                      <w:rFonts w:ascii="Times New Roman" w:eastAsia="Times New Roman" w:hAnsi="Times New Roman"/>
                      <w:sz w:val="20"/>
                      <w:szCs w:val="20"/>
                    </w:rPr>
                    <w:t xml:space="preserve"> generated Lithium Borohydride. Having the diesters located in a conjugated system is essential and we hypothesize that one ester group functions as an electron withdrawing group to activate the other ester allowing reduction using this mild reducing agent. Once one ester is reduced to an alcohol, further reduction of the system is stymied. Sodium Borohydride is too weak of a reducing agent and results in no reduction, whereas Lithium Aluminum Hydride is too strong of a reducing agent and results in complete reduction of both esters. Lithium Borohydride, however, is “just right” and performs well in this selective reduction.</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In particular, we found that both meta and para diesters are selectively reduced in high yields using Lithium Borohydride. Likewise, aromatic triesters and tetraesters are also selectively reduced, but in lower yields. Ester groups located ortho to one another are unreactive. Purification of the products is minimal as column chromatography is only necessary for triesters and tetraesters. Characterization of the reduction products is performed using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H and </w:t>
                  </w:r>
                  <w:r w:rsidRPr="001F5B5C">
                    <w:rPr>
                      <w:rFonts w:ascii="Times New Roman" w:eastAsia="Times New Roman" w:hAnsi="Times New Roman"/>
                      <w:sz w:val="20"/>
                      <w:szCs w:val="20"/>
                      <w:vertAlign w:val="superscript"/>
                    </w:rPr>
                    <w:t>13</w:t>
                  </w:r>
                  <w:r w:rsidRPr="001F5B5C">
                    <w:rPr>
                      <w:rFonts w:ascii="Times New Roman" w:eastAsia="Times New Roman" w:hAnsi="Times New Roman"/>
                      <w:sz w:val="20"/>
                      <w:szCs w:val="20"/>
                    </w:rPr>
                    <w:t xml:space="preserve">C NMR, IR, and GC/MS. Work currently underway includes examining the role that both conjugation and electron donation play in selective mono-reduction of an ester. </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Lithium borohydride effectively, cleanly and selectively reduces aromatic diesters. Additionally the reduction is performed in only one step with no need for protecting groups. This method has the potential to be an easy and effective means for selectively reducing esters into alcohols.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2362909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Functionalized nanoporous polysulfone membranes via silane chemistry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Lee Dunlap</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Ledunlap1@gmail.com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Lee Dunlap</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Paul Koenig</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Brandon P. Gindt</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Tomoko Fujiwara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The University of Memphis, Memphis, TN, United States. </w:t>
                  </w:r>
                  <w:r w:rsidRPr="001F5B5C">
                    <w:rPr>
                      <w:rFonts w:ascii="Times New Roman" w:eastAsia="Times New Roman" w:hAnsi="Times New Roman"/>
                      <w:sz w:val="20"/>
                      <w:szCs w:val="20"/>
                    </w:rPr>
                    <w:br/>
                    <w:t xml:space="preserve">2. Chemistry, University of Memphis, Memphis,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Nanoporous materials are attractive because of their potential and established utility as separation media, ion exchange membranes, catalysts, and scaffolds for the growth of nanoscopic materials. Controlling pore size and property is essential in creating effective nanoporous materials. We have prepared nanoporous polysulfone (PSU) membranes and selectively modified their pores via silane coupling chemistry. First, polysulfones with partially substituted propenyl side groups were synthesized to give propenyl polysulfone (PPSU). PPSU then underwent ring opening polymerization of D</w:t>
                  </w:r>
                  <w:proofErr w:type="gramStart"/>
                  <w:r w:rsidRPr="001F5B5C">
                    <w:rPr>
                      <w:rFonts w:ascii="Times New Roman" w:eastAsia="Times New Roman" w:hAnsi="Times New Roman"/>
                      <w:sz w:val="20"/>
                      <w:szCs w:val="20"/>
                    </w:rPr>
                    <w:t>,L</w:t>
                  </w:r>
                  <w:proofErr w:type="gramEnd"/>
                  <w:r w:rsidRPr="001F5B5C">
                    <w:rPr>
                      <w:rFonts w:ascii="Times New Roman" w:eastAsia="Times New Roman" w:hAnsi="Times New Roman"/>
                      <w:sz w:val="20"/>
                      <w:szCs w:val="20"/>
                    </w:rPr>
                    <w:t>-lactide to yield polylactide-polysulfone-polylactide triblock copolymers (PLA-PPSU-PLA). The self-assembled membranes were prepared by solvent-cast and annealing to promote nanoscale phase separation, followed by complete degradation of PLA block to expose a hydroxyl functional group lining in the nanopores. The nanopore surface was further modified using a variety of silane coupling reagents to explore their effects on membrane properties. An array of pore-surface structures were successfully prepared using silane coupling agents on the nanoporous membrane template. The modified membranes exhibit distinct differences on water uptake and dye affinity.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2362915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novel 1,2,3-triazoles using click chemistry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Mary Tohidi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mtohidi@cameron.edu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Mary Tohidi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1. department of chemistry</w:t>
                  </w:r>
                  <w:proofErr w:type="gramStart"/>
                  <w:r w:rsidRPr="001F5B5C">
                    <w:rPr>
                      <w:rFonts w:ascii="Times New Roman" w:eastAsia="Times New Roman" w:hAnsi="Times New Roman"/>
                      <w:sz w:val="20"/>
                      <w:szCs w:val="20"/>
                    </w:rPr>
                    <w:t>,physics</w:t>
                  </w:r>
                  <w:proofErr w:type="gramEnd"/>
                  <w:r w:rsidRPr="001F5B5C">
                    <w:rPr>
                      <w:rFonts w:ascii="Times New Roman" w:eastAsia="Times New Roman" w:hAnsi="Times New Roman"/>
                      <w:sz w:val="20"/>
                      <w:szCs w:val="20"/>
                    </w:rPr>
                    <w:t xml:space="preserve"> and engineering, CAMERON UNIVERSITY, Lawton,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use of Click Chemistry to perform cycloaddition reaction of alkynes and azides to form a variety of novel organic compounds which can lead to further studies of the products in Organic Synthesis, Bioconjugation and finally Drug </w:t>
                  </w:r>
                  <w:proofErr w:type="gramStart"/>
                  <w:r w:rsidRPr="001F5B5C">
                    <w:rPr>
                      <w:rFonts w:ascii="Times New Roman" w:eastAsia="Times New Roman" w:hAnsi="Times New Roman"/>
                      <w:sz w:val="20"/>
                      <w:szCs w:val="20"/>
                    </w:rPr>
                    <w:t>discovery .</w:t>
                  </w:r>
                  <w:proofErr w:type="gramEnd"/>
                  <w:r w:rsidRPr="001F5B5C">
                    <w:rPr>
                      <w:rFonts w:ascii="Times New Roman" w:eastAsia="Times New Roman" w:hAnsi="Times New Roman"/>
                      <w:sz w:val="20"/>
                      <w:szCs w:val="20"/>
                    </w:rPr>
                    <w:br/>
                    <w:t>The synthetic method known as click reactions, which assembles molecules with high efficiency, selectivity and yield by Barry Sharpless , et al, in 2001 has helped chemists and even undergraduate students to construct compounds which can be used in variety of fields like drug discovery, chemical biology, medicinal chemistry, material science, polymer chemistry to name a few.</w:t>
                  </w:r>
                  <w:r w:rsidRPr="001F5B5C">
                    <w:rPr>
                      <w:rFonts w:ascii="Times New Roman" w:eastAsia="Times New Roman" w:hAnsi="Times New Roman"/>
                      <w:sz w:val="20"/>
                      <w:szCs w:val="20"/>
                    </w:rPr>
                    <w:br/>
                    <w:t>These reactions require a set of criteria as follows</w:t>
                  </w:r>
                  <w:proofErr w:type="gramStart"/>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br/>
                    <w:t>The reactions are modular, wide in scope, high yielding, create no offensive by-product, are stereospecific, simple to perform and performed in benign solvents which make them ideal research projects for undergraduate students even in a small university setting.</w:t>
                  </w:r>
                  <w:r w:rsidRPr="001F5B5C">
                    <w:rPr>
                      <w:rFonts w:ascii="Times New Roman" w:eastAsia="Times New Roman" w:hAnsi="Times New Roman"/>
                      <w:sz w:val="20"/>
                      <w:szCs w:val="20"/>
                    </w:rPr>
                    <w:br/>
                    <w:t>We are concentrating and have already synthesized few azide and phenyl triazole derivatives using the click reaction, which can lead to further investigations.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2363909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One-Pot Suzuki Coupling Synthesis of Substituted Isoxazoles Under Green, Microwave Conditions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Michelle Stofberg | Nichole Powell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michelle.stofberg@emory.edu | nichole.powell@emory.edu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Michelle Stofberg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Brenda Harmon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Nichole L. Powell</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Department, Oxford College of Emory University, Oxford,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Heterocyclic compounds that contain the 3</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-diarylisoxazole moiety have been shown to possess strong anti-cancer properties. Unfortunately, previous methods of synthesizing these compounds have resulted in poor reaction rate, poor yield, and unfavorable environmental effects. The goal of this research is to overcome these issues by optimizing microwave-assisted Suzuki coupling with a green solvent and reusable catalyst. Microwave heating will greatly increase the reaction rate while Suzuki cross-coupling should produce few side products, thereby increasing the yield of our desired isoxazole product. Finally, using the green solvent mixture alongside a reusable catalyst will greatly minimize the chemical waste resulting from this reaction. To test and optimize this reaction method, the synthesis of two isoxazole compounds, 3-phenylisoxazole and 3-(4-methoxyphenyl)-5-phenylisoxazole, were studied. Further optimization of the procedure used to synthesize these two isoxazoles will hopefully lead to the ideal conditions under which potential anti-cancer compounds containing the 3</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-diarylisoxazole moiety can be synthesized.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2364936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CATALYTIC ACTIVITY OF (R)-3-METHYLPYRROLIDINE-3-CARBOXYLIC ACID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Shelby Dickerson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sddickerson93@yahoo.com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Shelby Dickerson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Douglas S. Masterson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Southern Mississipi, Hattiesburg, MS, United States. </w:t>
                  </w:r>
                  <w:r w:rsidRPr="001F5B5C">
                    <w:rPr>
                      <w:rFonts w:ascii="Times New Roman" w:eastAsia="Times New Roman" w:hAnsi="Times New Roman"/>
                      <w:sz w:val="20"/>
                      <w:szCs w:val="20"/>
                    </w:rPr>
                    <w:br/>
                    <w:t xml:space="preserve">2. Chemistry and Biochemistry, University of Southern Mississippi, Hattiesburg,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L-Proline is an organocatalyst widely used in pharmaceutical research. It is used in a variety of chemical reactions, especially the Aldol, Mannich, and Michael reactions. Organocatalysts have contributed to advancements in green chemistry. The absence of transitions metals in organocatalysts prevents the production of hazardous waste and allows “cleaner” synthetic reactions. Another advantage is the chiral centers that allow stereoselective reactions to occur. This research will focus on the production of a unique proline analogue and the potential reactions to be used to explore its reactivity and compare to known proline analogues. The steps provided display the known synthesis that will be utilized to produce the proline analogue.</w:t>
                  </w:r>
                  <w:r w:rsidRPr="001F5B5C">
                    <w:rPr>
                      <w:rFonts w:ascii="Times New Roman" w:eastAsia="Times New Roman" w:hAnsi="Times New Roman"/>
                      <w:sz w:val="20"/>
                      <w:szCs w:val="20"/>
                    </w:rPr>
                    <w:br/>
                    <w:t>There are many reactions that utilize organocatalysts. This includes the Aldol reaction. One issue with organocatalysts is low solubility in organic systems. Using the Aldol reaction, the difference in reactivity of reported proline analogues can be compared to the analogue produced in this research.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4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2365545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Design and Synthesis of Small Molecule HDAC Inhibitors for Selective Targeting of Breast Cancer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Maria Dennis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dennism12@students.ecu.edu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Maria Dennis</w:t>
                  </w:r>
                  <w:r w:rsidRPr="001F5B5C">
                    <w:rPr>
                      <w:rFonts w:ascii="Times New Roman" w:eastAsia="Times New Roman" w:hAnsi="Times New Roman"/>
                      <w:sz w:val="20"/>
                      <w:szCs w:val="20"/>
                      <w:vertAlign w:val="superscript"/>
                    </w:rPr>
                    <w:t>2, 1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East Carolina University, Greenville, NC, United States. </w:t>
                  </w:r>
                  <w:r w:rsidRPr="001F5B5C">
                    <w:rPr>
                      <w:rFonts w:ascii="Times New Roman" w:eastAsia="Times New Roman" w:hAnsi="Times New Roman"/>
                      <w:sz w:val="20"/>
                      <w:szCs w:val="20"/>
                    </w:rPr>
                    <w:br/>
                    <w:t xml:space="preserve">2. Georgia Institute of Technology,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purpose of this research project is to design and synthesize multiple organic molecules that will help answer the question of what part of a previously made molecule is responsible for the high potency in killing breast cancer cells. The previously made molecule is a tam-histone deacetylase inhibitor; its job is to target breast cancer cell (tamoxifen portion) and destroy them (HDACi portion). When this molecule was synthesized, it was tested on cancer cells with and without estrogen receptors and the results collected showed that a significant amount of both cancer cell lines were killed. The purpose of my research was to synthesize four molecules that were truncated version of the tam-HDACi. Once these molecules were synthesized, they were tested on cancer cells with and without estrogen receptors and also healthy cells. This research could lead to a better targeted and effective treatment for breast cancer.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2365856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Sugar-coated PDA liposomes for pathogen detection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Reed Holmes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reed.holmes@furman.edu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Reed Holmes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Timothy W. Hanks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Polydiacetylene-containing liposomes have shown promise as sensors for the detection of toxins, viruses and harmful bacteria. These species undergo a blue to red color change when exposed to various stressors, while decoration of their surfaces with appropriate moieties can impart selectivity. Towards these ends, 10-12-pentacosadiynoic acid was converted into N-(2-propynyl</w:t>
                  </w:r>
                  <w:proofErr w:type="gramStart"/>
                  <w:r w:rsidRPr="001F5B5C">
                    <w:rPr>
                      <w:rFonts w:ascii="Times New Roman" w:eastAsia="Times New Roman" w:hAnsi="Times New Roman"/>
                      <w:sz w:val="20"/>
                      <w:szCs w:val="20"/>
                    </w:rPr>
                    <w:t>)pentacosa</w:t>
                  </w:r>
                  <w:proofErr w:type="gramEnd"/>
                  <w:r w:rsidRPr="001F5B5C">
                    <w:rPr>
                      <w:rFonts w:ascii="Times New Roman" w:eastAsia="Times New Roman" w:hAnsi="Times New Roman"/>
                      <w:sz w:val="20"/>
                      <w:szCs w:val="20"/>
                    </w:rPr>
                    <w:t xml:space="preserve">-10,12-dynamide. This, in turn, was treated with an acetyl-protected azidoethylglucopyranose, resulting in a copper-catalyzed click reaction. Subsequent deprotection of the glucose alcohols through Zemplen deacetylation afforded the monomer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in good yield. An isopropyl alcohol solution of the monomer was dispersed as picoliter-sized drops into water using an inkjet printer to form pathogen sensors.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2366040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Solution ATRP reaction of oligo(ethylene glycol) methacrylate and sulfobetaine methacrylate for the preparation of antifouling surfaces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David Pottle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david.pottle@furman.edu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David Pottle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Timothy W. Hanks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monomers </w:t>
                  </w:r>
                  <w:proofErr w:type="gramStart"/>
                  <w:r w:rsidRPr="001F5B5C">
                    <w:rPr>
                      <w:rFonts w:ascii="Times New Roman" w:eastAsia="Times New Roman" w:hAnsi="Times New Roman"/>
                      <w:sz w:val="20"/>
                      <w:szCs w:val="20"/>
                    </w:rPr>
                    <w:t>oligo(</w:t>
                  </w:r>
                  <w:proofErr w:type="gramEnd"/>
                  <w:r w:rsidRPr="001F5B5C">
                    <w:rPr>
                      <w:rFonts w:ascii="Times New Roman" w:eastAsia="Times New Roman" w:hAnsi="Times New Roman"/>
                      <w:sz w:val="20"/>
                      <w:szCs w:val="20"/>
                    </w:rPr>
                    <w:t xml:space="preserve">ethylene glycol) methacrylate (OEGMA, mw=500) and sulfobetaine methacrylate (SBMA) were polymerized in water or methanol in an atom transfer radical polymerization process. The reaction was initiated on a symmetrical disulfide that featured two initiation sites and was catalyzed with a copper bromide derivative. The resulting polymers had very low polydispersity, as shown by dynamic light scattering, and the molecular weight could be adjusted by varying the initiator/monomer ratio. After purification, the resulting polymers were cleaved with </w:t>
                  </w:r>
                  <w:proofErr w:type="gramStart"/>
                  <w:r w:rsidRPr="001F5B5C">
                    <w:rPr>
                      <w:rFonts w:ascii="Times New Roman" w:eastAsia="Times New Roman" w:hAnsi="Times New Roman"/>
                      <w:sz w:val="20"/>
                      <w:szCs w:val="20"/>
                    </w:rPr>
                    <w:t>Tris(</w:t>
                  </w:r>
                  <w:proofErr w:type="gramEnd"/>
                  <w:r w:rsidRPr="001F5B5C">
                    <w:rPr>
                      <w:rFonts w:ascii="Times New Roman" w:eastAsia="Times New Roman" w:hAnsi="Times New Roman"/>
                      <w:sz w:val="20"/>
                      <w:szCs w:val="20"/>
                    </w:rPr>
                    <w:t>2-carboxyethyl)phosphine to give thiols. These are then used to modify surfaces to reduce biofouling.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2366059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1,3-</w:t>
                  </w:r>
                  <w:r w:rsidRPr="001F5B5C">
                    <w:rPr>
                      <w:rFonts w:ascii="Times New Roman" w:eastAsia="Times New Roman" w:hAnsi="Times New Roman"/>
                      <w:i/>
                      <w:iCs/>
                      <w:sz w:val="20"/>
                      <w:szCs w:val="20"/>
                    </w:rPr>
                    <w:t>S</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O</w:t>
                  </w:r>
                  <w:r w:rsidRPr="001F5B5C">
                    <w:rPr>
                      <w:rFonts w:ascii="Times New Roman" w:eastAsia="Times New Roman" w:hAnsi="Times New Roman"/>
                      <w:sz w:val="20"/>
                      <w:szCs w:val="20"/>
                    </w:rPr>
                    <w:t>-ESTERS FROM α-OXOKETENE DITHIOACETALS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James Law</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jlaw9@students.kennesaw.edu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James Law</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Kercher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Christopher W. Alexander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MD 1203, Kennesaw State University, Kennesaw,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1</w:t>
                  </w:r>
                  <w:proofErr w:type="gramStart"/>
                  <w:r w:rsidRPr="001F5B5C">
                    <w:rPr>
                      <w:rFonts w:ascii="Times New Roman" w:eastAsia="Times New Roman" w:hAnsi="Times New Roman"/>
                      <w:sz w:val="20"/>
                      <w:szCs w:val="20"/>
                    </w:rPr>
                    <w:t>,3</w:t>
                  </w:r>
                  <w:proofErr w:type="gramEnd"/>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S</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O</w:t>
                  </w:r>
                  <w:r w:rsidRPr="001F5B5C">
                    <w:rPr>
                      <w:rFonts w:ascii="Times New Roman" w:eastAsia="Times New Roman" w:hAnsi="Times New Roman"/>
                      <w:sz w:val="20"/>
                      <w:szCs w:val="20"/>
                    </w:rPr>
                    <w:t>-esters are molecular building blocks used in the synthesis of heterocycles, natural products, and other ester derivatives. We have developed a a convenient method to synthesize functionalized 1</w:t>
                  </w:r>
                  <w:proofErr w:type="gramStart"/>
                  <w:r w:rsidRPr="001F5B5C">
                    <w:rPr>
                      <w:rFonts w:ascii="Times New Roman" w:eastAsia="Times New Roman" w:hAnsi="Times New Roman"/>
                      <w:sz w:val="20"/>
                      <w:szCs w:val="20"/>
                    </w:rPr>
                    <w:t>,3</w:t>
                  </w:r>
                  <w:proofErr w:type="gramEnd"/>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S</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O</w:t>
                  </w:r>
                  <w:r w:rsidRPr="001F5B5C">
                    <w:rPr>
                      <w:rFonts w:ascii="Times New Roman" w:eastAsia="Times New Roman" w:hAnsi="Times New Roman"/>
                      <w:sz w:val="20"/>
                      <w:szCs w:val="20"/>
                    </w:rPr>
                    <w:t>-esters by the acid hydrolysis of α-oxoketene dithioacetals using Amberlyst-15. We will report the scope and limitations of our method. Additionally, we will present our preliminary results for the synthesis of 1</w:t>
                  </w:r>
                  <w:proofErr w:type="gramStart"/>
                  <w:r w:rsidRPr="001F5B5C">
                    <w:rPr>
                      <w:rFonts w:ascii="Times New Roman" w:eastAsia="Times New Roman" w:hAnsi="Times New Roman"/>
                      <w:sz w:val="20"/>
                      <w:szCs w:val="20"/>
                    </w:rPr>
                    <w:t>,3</w:t>
                  </w:r>
                  <w:proofErr w:type="gramEnd"/>
                  <w:r w:rsidRPr="001F5B5C">
                    <w:rPr>
                      <w:rFonts w:ascii="Times New Roman" w:eastAsia="Times New Roman" w:hAnsi="Times New Roman"/>
                      <w:sz w:val="20"/>
                      <w:szCs w:val="20"/>
                    </w:rPr>
                    <w:t>-dicarbonyl compounds from the 1,3-</w:t>
                  </w:r>
                  <w:r w:rsidRPr="001F5B5C">
                    <w:rPr>
                      <w:rFonts w:ascii="Times New Roman" w:eastAsia="Times New Roman" w:hAnsi="Times New Roman"/>
                      <w:i/>
                      <w:iCs/>
                      <w:sz w:val="20"/>
                      <w:szCs w:val="20"/>
                    </w:rPr>
                    <w:t>S</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O</w:t>
                  </w:r>
                  <w:r w:rsidRPr="001F5B5C">
                    <w:rPr>
                      <w:rFonts w:ascii="Times New Roman" w:eastAsia="Times New Roman" w:hAnsi="Times New Roman"/>
                      <w:sz w:val="20"/>
                      <w:szCs w:val="20"/>
                    </w:rPr>
                    <w:t>-esters that we have prepared.</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2366311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Asymmetric reduction of single geometric isomers of diaryl oxime ethers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Binit Sharma Poudel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binit.poudel@selu.edu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Binit Sharma Poudel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Ignatius Bonck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Suraj K. Ayer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Connor Dugan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Zhexi Li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Timothy S. Snowden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Debra D. Dolliver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&amp; Physics, Southeastern Louisiana University, Hammond, LA, United States. </w:t>
                  </w:r>
                  <w:r w:rsidRPr="001F5B5C">
                    <w:rPr>
                      <w:rFonts w:ascii="Times New Roman" w:eastAsia="Times New Roman" w:hAnsi="Times New Roman"/>
                      <w:sz w:val="20"/>
                      <w:szCs w:val="20"/>
                    </w:rPr>
                    <w:br/>
                    <w:t xml:space="preserve">2. Chemistry,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enantioselective borane reduction of single geometric isomers of diaryl oxime ethers [</w:t>
                  </w:r>
                  <w:proofErr w:type="gramStart"/>
                  <w:r w:rsidRPr="001F5B5C">
                    <w:rPr>
                      <w:rFonts w:ascii="Times New Roman" w:eastAsia="Times New Roman" w:hAnsi="Times New Roman"/>
                      <w:sz w:val="20"/>
                      <w:szCs w:val="20"/>
                    </w:rPr>
                    <w:t>Ar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C(</w:t>
                  </w:r>
                  <w:proofErr w:type="gramEnd"/>
                  <w:r w:rsidRPr="001F5B5C">
                    <w:rPr>
                      <w:rFonts w:ascii="Times New Roman" w:eastAsia="Times New Roman" w:hAnsi="Times New Roman"/>
                      <w:sz w:val="20"/>
                      <w:szCs w:val="20"/>
                    </w:rPr>
                    <w:t>Ar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)=NOR] using a chiral spiroborate catalyst is described. These reductions result in pharmaceutically-useful asymmetric diarylmethanamines. The effect of the alkyl group (R = Me, </w:t>
                  </w:r>
                  <w:r w:rsidRPr="001F5B5C">
                    <w:rPr>
                      <w:rFonts w:ascii="Times New Roman" w:eastAsia="Times New Roman" w:hAnsi="Times New Roman"/>
                      <w:i/>
                      <w:iCs/>
                      <w:sz w:val="20"/>
                      <w:szCs w:val="20"/>
                    </w:rPr>
                    <w:t>i</w:t>
                  </w:r>
                  <w:r w:rsidRPr="001F5B5C">
                    <w:rPr>
                      <w:rFonts w:ascii="Times New Roman" w:eastAsia="Times New Roman" w:hAnsi="Times New Roman"/>
                      <w:sz w:val="20"/>
                      <w:szCs w:val="20"/>
                    </w:rPr>
                    <w:t>-Pr, Bn) attached to oxygen on the enantioselectivity will be discussed. Temperature and solvent effects on the stereoselectivity will also be examined. Reaction optimization, product isolation, and determination of enantiomeric ratios will be presented. There will also be a discussion of the effect of substituents on Ar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and Ar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on the stereoselectivity of the reaction.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2366324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Synthesis of single geometric isomers of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-benzyloxydiarylimines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Ignatius Bonck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ignatius.bonck@selu.edu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Ignatius Bonck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Binit Sharma Poudel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Suraj K. Ayer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Connor Dugan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Zhexi Li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Timothy S. Snowden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Debra D. Dolliver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&amp; Physics, Southeastern Louisiana University, Hammond, LA, United States. </w:t>
                  </w:r>
                  <w:r w:rsidRPr="001F5B5C">
                    <w:rPr>
                      <w:rFonts w:ascii="Times New Roman" w:eastAsia="Times New Roman" w:hAnsi="Times New Roman"/>
                      <w:sz w:val="20"/>
                      <w:szCs w:val="20"/>
                    </w:rPr>
                    <w:br/>
                    <w:t xml:space="preserve">2. Chemistry,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synthesis of a series of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 xml:space="preserve">-benzyloxydiarylimines with various electron-withdrawing or electron-donating substituents is reported. The route involves benzylation of the hydroxamate salt to form the </w:t>
                  </w:r>
                  <w:r w:rsidRPr="001F5B5C">
                    <w:rPr>
                      <w:rFonts w:ascii="Times New Roman" w:eastAsia="Times New Roman" w:hAnsi="Times New Roman"/>
                      <w:i/>
                      <w:iCs/>
                      <w:sz w:val="20"/>
                      <w:szCs w:val="20"/>
                    </w:rPr>
                    <w:t>O</w:t>
                  </w:r>
                  <w:r w:rsidRPr="001F5B5C">
                    <w:rPr>
                      <w:rFonts w:ascii="Times New Roman" w:eastAsia="Times New Roman" w:hAnsi="Times New Roman"/>
                      <w:sz w:val="20"/>
                      <w:szCs w:val="20"/>
                    </w:rPr>
                    <w:t xml:space="preserve">-benzylhydroxamate, tosylation of the hydroxamate to produce an </w:t>
                  </w:r>
                  <w:r w:rsidRPr="001F5B5C">
                    <w:rPr>
                      <w:rFonts w:ascii="Times New Roman" w:eastAsia="Times New Roman" w:hAnsi="Times New Roman"/>
                      <w:i/>
                      <w:iCs/>
                      <w:sz w:val="20"/>
                      <w:szCs w:val="20"/>
                    </w:rPr>
                    <w:t>O-</w:t>
                  </w:r>
                  <w:r w:rsidRPr="001F5B5C">
                    <w:rPr>
                      <w:rFonts w:ascii="Times New Roman" w:eastAsia="Times New Roman" w:hAnsi="Times New Roman"/>
                      <w:sz w:val="20"/>
                      <w:szCs w:val="20"/>
                    </w:rPr>
                    <w:t xml:space="preserve">benzylbenzimidoyl tosylate with subsequent iodination to yield an </w:t>
                  </w:r>
                  <w:r w:rsidRPr="001F5B5C">
                    <w:rPr>
                      <w:rFonts w:ascii="Times New Roman" w:eastAsia="Times New Roman" w:hAnsi="Times New Roman"/>
                      <w:i/>
                      <w:iCs/>
                      <w:sz w:val="20"/>
                      <w:szCs w:val="20"/>
                    </w:rPr>
                    <w:t>O-</w:t>
                  </w:r>
                  <w:r w:rsidRPr="001F5B5C">
                    <w:rPr>
                      <w:rFonts w:ascii="Times New Roman" w:eastAsia="Times New Roman" w:hAnsi="Times New Roman"/>
                      <w:sz w:val="20"/>
                      <w:szCs w:val="20"/>
                    </w:rPr>
                    <w:t xml:space="preserve">benzylbenzimidoyl iodide. Suzuki coupling of the iodide with boronic acid produces a single geometric isomer of the desired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 xml:space="preserve">-benzyloxydiarylimine. These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-benzyloxydiarylimines will be used as starting materials in investigations of the stereoselectivity of asymmetric, spiroborate-catalyzed borane reductions to synthesize single enantiomers of diarylmethanamines.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2366411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Fluorescent amphiphile exchange in polydiacetylene liposomes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Ian Miller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ian.miller2@furman.edu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Ian Miller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Michael Evans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Timothy W. Hanks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 Greenville, SC, United States. </w:t>
                  </w:r>
                  <w:r w:rsidRPr="001F5B5C">
                    <w:rPr>
                      <w:rFonts w:ascii="Times New Roman" w:eastAsia="Times New Roman" w:hAnsi="Times New Roman"/>
                      <w:sz w:val="20"/>
                      <w:szCs w:val="20"/>
                    </w:rPr>
                    <w:br/>
                    <w:t xml:space="preserve">2.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Long-chain amphiphiles containing the diacetylene moiety midway along the chain can be assembled into ~100 nm sized bilayer vesicles that readily polymerize in the presence of UV light. Such structures undergo a dramatic color change when the conjugated backbone in perturbed. If a hydrophobic fluorophore is incorporated into the bilayer, the fluorescence is also modulated by the backbone state. This behavior is complicated by the exchange of fluorophores between vesicles under certain conditions. In addition, treatment with lipopolysaccharides (LPS) and certain surfactants unexpectedly, and very rapidly, modulates the fluorescence without the concomitant color change. Liposomes were prepared using a picoliter scale solvent dispersion method and fluorescent intensity was measured over a two-hour period. The data indicate that the colorimetric and fluorescence behaviors are a function of both the amphiphile head group and tail length.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2366483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Zwitterion polymer brush growth in a Quartz Crystal Microbalance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Elizabeth Bundy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esbundy@gmail.com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Elizabeth Bundy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Timothy W. Hanks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Gold-coated quartz crystal microbalance (QCM) resonators were derivatized by treating the active surface with a solution w-mercaptoundecylbromoisobutyrate in ethanol. These were then placed in a QCM flow cell. An “incomplete reaction mixture” was prepared from ascorbic acid, copper (II) chloride, and bipyridine in degassed Milli-Q water. A “complete reaction mixture” was prepared in the same way, but also included the monomer sulfobetaine methacrylate. The incomplete reaction mixture was run through the QCM at the 0.5 μl/min until the resonator’s oscillation stabilized. The flow was then increased </w:t>
                  </w:r>
                  <w:proofErr w:type="gramStart"/>
                  <w:r w:rsidRPr="001F5B5C">
                    <w:rPr>
                      <w:rFonts w:ascii="Times New Roman" w:eastAsia="Times New Roman" w:hAnsi="Times New Roman"/>
                      <w:sz w:val="20"/>
                      <w:szCs w:val="20"/>
                    </w:rPr>
                    <w:t>to 10 μl/min</w:t>
                  </w:r>
                  <w:proofErr w:type="gramEnd"/>
                  <w:r w:rsidRPr="001F5B5C">
                    <w:rPr>
                      <w:rFonts w:ascii="Times New Roman" w:eastAsia="Times New Roman" w:hAnsi="Times New Roman"/>
                      <w:sz w:val="20"/>
                      <w:szCs w:val="20"/>
                    </w:rPr>
                    <w:t xml:space="preserve"> until stabilization was again achieved. At this point, the solution was switched to the complete reaction mixture for a period of about 2 hours at the same flow rate. The growth of the polymer brush was monitored by the change in the frequency of the resonator and the viscoelastic properties by the change in the dissipation of the resonance.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2366493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polypyrrole – alginate ionomeric composites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Melissa Kuester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mkuester01@gmail.com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Melissa Kuester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Timothy W. Hanks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Alginic acid sodium salt solutions of 2% w/v and pyrrole of various concentrations were mixed with sodium persulfate and sodium bicarbonate on ice for six hours, allowing for the polymerization of the pyrrole. Following 48 hours dialysis, excess water was removed under vacuum to return the situation to original volume, after which solutions were stored at 4 C. Solutions were then crosslinked with various concentrations of calcium carbonate and GDL, and samples were characterized spectroscopically, then analyzed by thermal gravimetric analysis, and capillary rheometry to observe changes in viscosity and thermal decomposition at various ratios of alginate to pyrrole and at different crosslinking percentages.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2366711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kinetic studies of a manganese(V)-oxo corrole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Haleh Jeddi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haleh.jeddi231@topper.wku.edu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Haleh Jeddi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Weilong Luo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Rui Zhang</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Western Kentucky University, Bowling Green, KY,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Free base corrole ligands are unsaturated analogues of corrin, found in vitamin B12, and are 19-carbon analogues of well-studied porphyrins. In this study, 5</w:t>
                  </w:r>
                  <w:proofErr w:type="gramStart"/>
                  <w:r w:rsidRPr="001F5B5C">
                    <w:rPr>
                      <w:rFonts w:ascii="Times New Roman" w:eastAsia="Times New Roman" w:hAnsi="Times New Roman"/>
                      <w:sz w:val="20"/>
                      <w:szCs w:val="20"/>
                    </w:rPr>
                    <w:t>,10,15</w:t>
                  </w:r>
                  <w:proofErr w:type="gramEnd"/>
                  <w:r w:rsidRPr="001F5B5C">
                    <w:rPr>
                      <w:rFonts w:ascii="Times New Roman" w:eastAsia="Times New Roman" w:hAnsi="Times New Roman"/>
                      <w:sz w:val="20"/>
                      <w:szCs w:val="20"/>
                    </w:rPr>
                    <w:t>-tripentafluorophenyl corrole [H</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TPFC] and its manganese complex [Mn</w:t>
                  </w:r>
                  <w:r w:rsidRPr="001F5B5C">
                    <w:rPr>
                      <w:rFonts w:ascii="Times New Roman" w:eastAsia="Times New Roman" w:hAnsi="Times New Roman"/>
                      <w:sz w:val="20"/>
                      <w:szCs w:val="20"/>
                      <w:vertAlign w:val="superscript"/>
                    </w:rPr>
                    <w:t>III</w:t>
                  </w:r>
                  <w:r w:rsidRPr="001F5B5C">
                    <w:rPr>
                      <w:rFonts w:ascii="Times New Roman" w:eastAsia="Times New Roman" w:hAnsi="Times New Roman"/>
                      <w:sz w:val="20"/>
                      <w:szCs w:val="20"/>
                    </w:rPr>
                    <w:t>(TPFC)·OEt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were successfully synthesized according to literature-reported methods. A </w:t>
                  </w:r>
                  <w:proofErr w:type="gramStart"/>
                  <w:r w:rsidRPr="001F5B5C">
                    <w:rPr>
                      <w:rFonts w:ascii="Times New Roman" w:eastAsia="Times New Roman" w:hAnsi="Times New Roman"/>
                      <w:sz w:val="20"/>
                      <w:szCs w:val="20"/>
                    </w:rPr>
                    <w:t>manganese(</w:t>
                  </w:r>
                  <w:proofErr w:type="gramEnd"/>
                  <w:r w:rsidRPr="001F5B5C">
                    <w:rPr>
                      <w:rFonts w:ascii="Times New Roman" w:eastAsia="Times New Roman" w:hAnsi="Times New Roman"/>
                      <w:sz w:val="20"/>
                      <w:szCs w:val="20"/>
                    </w:rPr>
                    <w:t>V)-oxo species [Mn</w:t>
                  </w:r>
                  <w:r w:rsidRPr="001F5B5C">
                    <w:rPr>
                      <w:rFonts w:ascii="Times New Roman" w:eastAsia="Times New Roman" w:hAnsi="Times New Roman"/>
                      <w:sz w:val="20"/>
                      <w:szCs w:val="20"/>
                      <w:vertAlign w:val="superscript"/>
                    </w:rPr>
                    <w:t>V</w:t>
                  </w:r>
                  <w:r w:rsidRPr="001F5B5C">
                    <w:rPr>
                      <w:rFonts w:ascii="Times New Roman" w:eastAsia="Times New Roman" w:hAnsi="Times New Roman"/>
                      <w:sz w:val="20"/>
                      <w:szCs w:val="20"/>
                    </w:rPr>
                    <w:t xml:space="preserve">(TPFC)O] was generated by oxidation of the corresponding manganese(III) precursor with different oxygen sources. The kinetics of its epoxidation, hydroxylation and sulfoxidation reactions were investigated under pseudo-first-order conditions. Typical rate constants for hydroxylation of ethylbenzene, sulfoxidation of thioanisole and epoxidation of </w:t>
                  </w:r>
                  <w:r w:rsidRPr="001F5B5C">
                    <w:rPr>
                      <w:rFonts w:ascii="Times New Roman" w:eastAsia="Times New Roman" w:hAnsi="Times New Roman"/>
                      <w:i/>
                      <w:iCs/>
                      <w:sz w:val="20"/>
                      <w:szCs w:val="20"/>
                    </w:rPr>
                    <w:t>cis-</w:t>
                  </w:r>
                  <w:r w:rsidRPr="001F5B5C">
                    <w:rPr>
                      <w:rFonts w:ascii="Times New Roman" w:eastAsia="Times New Roman" w:hAnsi="Times New Roman"/>
                      <w:sz w:val="20"/>
                      <w:szCs w:val="20"/>
                    </w:rPr>
                    <w:t>cyclooctene include 2.68 x 10</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xml:space="preserve"> 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0.530 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and 1.06 x 10</w:t>
                  </w:r>
                  <w:r w:rsidRPr="001F5B5C">
                    <w:rPr>
                      <w:rFonts w:ascii="Times New Roman" w:eastAsia="Times New Roman" w:hAnsi="Times New Roman"/>
                      <w:sz w:val="20"/>
                      <w:szCs w:val="20"/>
                      <w:vertAlign w:val="superscript"/>
                    </w:rPr>
                    <w:t xml:space="preserve">-2 </w:t>
                  </w:r>
                  <w:r w:rsidRPr="001F5B5C">
                    <w:rPr>
                      <w:rFonts w:ascii="Times New Roman" w:eastAsia="Times New Roman" w:hAnsi="Times New Roman"/>
                      <w:sz w:val="20"/>
                      <w:szCs w:val="20"/>
                    </w:rPr>
                    <w:t>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respectively. The kinetic data indicates that </w:t>
                  </w:r>
                  <w:proofErr w:type="gramStart"/>
                  <w:r w:rsidRPr="001F5B5C">
                    <w:rPr>
                      <w:rFonts w:ascii="Times New Roman" w:eastAsia="Times New Roman" w:hAnsi="Times New Roman"/>
                      <w:sz w:val="20"/>
                      <w:szCs w:val="20"/>
                    </w:rPr>
                    <w:t>Mn</w:t>
                  </w:r>
                  <w:r w:rsidRPr="001F5B5C">
                    <w:rPr>
                      <w:rFonts w:ascii="Times New Roman" w:eastAsia="Times New Roman" w:hAnsi="Times New Roman"/>
                      <w:sz w:val="20"/>
                      <w:szCs w:val="20"/>
                      <w:vertAlign w:val="superscript"/>
                    </w:rPr>
                    <w:t>V</w:t>
                  </w:r>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TPFC)O reacts via a disproportionation pathway to generate a putative manganese(VI)-oxo species as the true oxidant.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5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2366853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Synthesis, characterization, and luminescent properties of Lanthanide Dipyridophenazine functionalized complexes for potential bio-imaging applications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 Lillie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amlillie1@catamount.wcu.edu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Alex Lillie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Jeremy Beasley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Brian Dinkelmeyer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Channa R. De Silva</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Physics, Western Carolina University, Cullowhee, NC, United States. </w:t>
                  </w:r>
                  <w:r w:rsidRPr="001F5B5C">
                    <w:rPr>
                      <w:rFonts w:ascii="Times New Roman" w:eastAsia="Times New Roman" w:hAnsi="Times New Roman"/>
                      <w:sz w:val="20"/>
                      <w:szCs w:val="20"/>
                    </w:rPr>
                    <w:br/>
                    <w:t xml:space="preserve">2. Dept. Of Chemistry Physics, Western Carolina University, Cullowhee,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Lanthanide complexes are used for their luminescent properties in bioimaging; however, their application is limited do to their high toxicity. The purpose of this research is to synthesize phenanthroline based ligands that can coordinate with lanthanides and allow the complexes formed to be occluded into a silica matrix. These complexes will also contain Thenoyltrifluoroacetone (TTA) ligands complexed to the lanthanide. TTA ligands are known to act as antenna </w:t>
                  </w:r>
                  <w:proofErr w:type="gramStart"/>
                  <w:r w:rsidRPr="001F5B5C">
                    <w:rPr>
                      <w:rFonts w:ascii="Times New Roman" w:eastAsia="Times New Roman" w:hAnsi="Times New Roman"/>
                      <w:sz w:val="20"/>
                      <w:szCs w:val="20"/>
                    </w:rPr>
                    <w:t>ligands which efficently absorbs</w:t>
                  </w:r>
                  <w:proofErr w:type="gramEnd"/>
                  <w:r w:rsidRPr="001F5B5C">
                    <w:rPr>
                      <w:rFonts w:ascii="Times New Roman" w:eastAsia="Times New Roman" w:hAnsi="Times New Roman"/>
                      <w:sz w:val="20"/>
                      <w:szCs w:val="20"/>
                    </w:rPr>
                    <w:t xml:space="preserve"> and transfers energy directly to the lanthanide. We have synthesized a family of </w:t>
                  </w:r>
                  <w:proofErr w:type="gramStart"/>
                  <w:r w:rsidRPr="001F5B5C">
                    <w:rPr>
                      <w:rFonts w:ascii="Times New Roman" w:eastAsia="Times New Roman" w:hAnsi="Times New Roman"/>
                      <w:sz w:val="20"/>
                      <w:szCs w:val="20"/>
                    </w:rPr>
                    <w:t>dipyrdio[</w:t>
                  </w:r>
                  <w:proofErr w:type="gramEnd"/>
                  <w:r w:rsidRPr="001F5B5C">
                    <w:rPr>
                      <w:rFonts w:ascii="Times New Roman" w:eastAsia="Times New Roman" w:hAnsi="Times New Roman"/>
                      <w:sz w:val="20"/>
                      <w:szCs w:val="20"/>
                    </w:rPr>
                    <w:t>3,2-a:2’,3’-c]phenazine (DPPZ) based ligands and measured their quantum yields. We are working toward incorporating silyl ether functional groups so that these complexes can be easily coated in glass. In doing so, the toxicity of the molecule will be reduced and rendered safe for biomedical imaging. The results we will report for are various ways to synthesize these molecules and measure the fluorescence of each variation.</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2367037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5-isopropyl 1,3-cyclohexanedione Synthesis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Christian Schiavone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cschiavone@furman.edu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Christian Schiavone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Brian C. Goess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Catonsville, MD, United States. </w:t>
                  </w:r>
                  <w:r w:rsidRPr="001F5B5C">
                    <w:rPr>
                      <w:rFonts w:ascii="Times New Roman" w:eastAsia="Times New Roman" w:hAnsi="Times New Roman"/>
                      <w:sz w:val="20"/>
                      <w:szCs w:val="20"/>
                    </w:rPr>
                    <w:br/>
                    <w:t xml:space="preserve">2. Dept of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5-isopropyl 1</w:t>
                  </w:r>
                  <w:proofErr w:type="gramStart"/>
                  <w:r w:rsidRPr="001F5B5C">
                    <w:rPr>
                      <w:rFonts w:ascii="Times New Roman" w:eastAsia="Times New Roman" w:hAnsi="Times New Roman"/>
                      <w:sz w:val="20"/>
                      <w:szCs w:val="20"/>
                    </w:rPr>
                    <w:t>,3</w:t>
                  </w:r>
                  <w:proofErr w:type="gramEnd"/>
                  <w:r w:rsidRPr="001F5B5C">
                    <w:rPr>
                      <w:rFonts w:ascii="Times New Roman" w:eastAsia="Times New Roman" w:hAnsi="Times New Roman"/>
                      <w:sz w:val="20"/>
                      <w:szCs w:val="20"/>
                    </w:rPr>
                    <w:t>-cyclohexanedione is the starting material used in the synthesis of hibiscone C. Hibiscone C is a furanosteriod, analogous to viridin and wortmannin. The furanosteriod family is of interest to the scientific community due to their possible usage as a chemotherapeutic. At various points in the synthesis there are chances to modify the molecule in different ways such as cyclopropanation. Further study of hibiscone C and its derivatives is needed to fully understand its biological activity and progress towards these goals will be discussed.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2367043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Abstract of Synthesis and Characterization of Co Complex with Isoquinoline Group for 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Production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Kandria Driskill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kandria.driskill@smail.astate.edu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Kandria Driskill</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Arkansas State University, Little Rock,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long term goals for our study is to eventually replace all fossil fuels with renewable sources of energy such as water and sunlight. To achieve this goal, out lab is working to develop a better understanding of the fundamentals of water splitting for hydrogen production along with the mechanism of metal complexes in this process and with that understanding be able to discover new catalysts for the production of hydrogen.</w:t>
                  </w:r>
                  <w:r w:rsidRPr="001F5B5C">
                    <w:rPr>
                      <w:rFonts w:ascii="Times New Roman" w:eastAsia="Times New Roman" w:hAnsi="Times New Roman"/>
                      <w:sz w:val="20"/>
                      <w:szCs w:val="20"/>
                    </w:rPr>
                    <w:br/>
                    <w:t>There has already been one catalyst for water splitting be made, known as DPA-BPY or just DPA, but it is not very efficient, so my purpose was to synthesize and analyze the reactivity a new catalyst from an Isoquinoline structure through the means of photolysis and gas chromatography. This new catalyst is referred to as Iso-DPA-CoCl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w:t>
                  </w:r>
                  <w:r w:rsidRPr="001F5B5C">
                    <w:rPr>
                      <w:rFonts w:ascii="Times New Roman" w:eastAsia="Times New Roman" w:hAnsi="Times New Roman"/>
                      <w:sz w:val="20"/>
                      <w:szCs w:val="20"/>
                    </w:rPr>
                    <w:br/>
                    <w:t>Photolysis is the simply explained as shining a light of a certain wavelength at your catalyst and by taking a sample via syringe and analyzing it with a gas chromatography machine, you can analyze how much hydrogen was produced from the light energy splitting the water.</w:t>
                  </w:r>
                  <w:r w:rsidRPr="001F5B5C">
                    <w:rPr>
                      <w:rFonts w:ascii="Times New Roman" w:eastAsia="Times New Roman" w:hAnsi="Times New Roman"/>
                      <w:sz w:val="20"/>
                      <w:szCs w:val="20"/>
                    </w:rPr>
                    <w:br/>
                    <w:t>Through running numerous photolysis tests at pH levels ranging from 3.89-7, my Isoquinoline catalyst showed to be significantly less efficient at producing hydrogen than the original DPA catalyst; this is thought to be caused by the reaction between the second ring on the isoquinoline interacting with the close-by pyridine ring and thus shifting both rings out of their plain. The solution to this was designed by one of my mentors, Dr. Ramana Reddy, who created the Isoquinoline catalyst with the second ring is shifted over one carbon allowing it to react free of the pyridine. This catalyst has been tested at only two of the pH levels, pH 5.01 and 3.89; at pH 5.01 it had almost reached to amount of hydrogen produced as the DPA catalyst, and at pH 3.89 the new isoquinoline catalyst’s hydrogen production actually exceeded that of the DPA. This new Isoquinoline catalyst seems to be a promising replacement for DPA, but further research has to be done before any conclusions can be made.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2367163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br/>
                    <w:t>A Process for the Production of a Stain-Resistant Polymer Application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Joe Holland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Jsholl1683@ung.edu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Joe Holland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Avery Shupert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North Georgia, Thomasville,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project comprises a stain-resistant configuration for copolymer chains of styrene maleic anhydride (SMA), as well as the process involved in the creation and application of the stain-resisting compound. The stain-blocking agent is bonded to nylon 6</w:t>
                  </w:r>
                  <w:proofErr w:type="gramStart"/>
                  <w:r w:rsidRPr="001F5B5C">
                    <w:rPr>
                      <w:rFonts w:ascii="Times New Roman" w:eastAsia="Times New Roman" w:hAnsi="Times New Roman"/>
                      <w:sz w:val="20"/>
                      <w:szCs w:val="20"/>
                    </w:rPr>
                    <w:t>,6</w:t>
                  </w:r>
                  <w:proofErr w:type="gramEnd"/>
                  <w:r w:rsidRPr="001F5B5C">
                    <w:rPr>
                      <w:rFonts w:ascii="Times New Roman" w:eastAsia="Times New Roman" w:hAnsi="Times New Roman"/>
                      <w:sz w:val="20"/>
                      <w:szCs w:val="20"/>
                    </w:rPr>
                    <w:t xml:space="preserve">, a common component of nylon carpeting. A sample portion of nylon was created as a component for this experiment; the synthesised nylon is representative of nylon carpet fiber. As a control, we apply 0.05 molar red food </w:t>
                  </w:r>
                  <w:proofErr w:type="gramStart"/>
                  <w:r w:rsidRPr="001F5B5C">
                    <w:rPr>
                      <w:rFonts w:ascii="Times New Roman" w:eastAsia="Times New Roman" w:hAnsi="Times New Roman"/>
                      <w:sz w:val="20"/>
                      <w:szCs w:val="20"/>
                    </w:rPr>
                    <w:t>dye</w:t>
                  </w:r>
                  <w:proofErr w:type="gramEnd"/>
                  <w:r w:rsidRPr="001F5B5C">
                    <w:rPr>
                      <w:rFonts w:ascii="Times New Roman" w:eastAsia="Times New Roman" w:hAnsi="Times New Roman"/>
                      <w:sz w:val="20"/>
                      <w:szCs w:val="20"/>
                    </w:rPr>
                    <w:t xml:space="preserve"> to a portion of the nylon sample. Under controlled conditions, the food dye bonds with the polymer chains of the nylon, ultimately staining the sample. Furthermore, we will synthesize a SMA copolymer to create a stain-blocking compound that will be applied to the polymer chains of nylon. Once the stain-blocker is applied to a portion of the nylon sample, food dye will be used to test the effectiveness of the stain-blocking composition. The control group will then be compared with the experimental group. The results should show that the stain-blocker prevents the food dye from staining the nylon sample, and result in the synthesis of a successful stain-blocking agent for nylon, 6</w:t>
                  </w:r>
                  <w:proofErr w:type="gramStart"/>
                  <w:r w:rsidRPr="001F5B5C">
                    <w:rPr>
                      <w:rFonts w:ascii="Times New Roman" w:eastAsia="Times New Roman" w:hAnsi="Times New Roman"/>
                      <w:sz w:val="20"/>
                      <w:szCs w:val="20"/>
                    </w:rPr>
                    <w:t>,6</w:t>
                  </w:r>
                  <w:proofErr w:type="gramEnd"/>
                  <w:r w:rsidRPr="001F5B5C">
                    <w:rPr>
                      <w:rFonts w:ascii="Times New Roman" w:eastAsia="Times New Roman" w:hAnsi="Times New Roman"/>
                      <w:sz w:val="20"/>
                      <w:szCs w:val="20"/>
                    </w:rPr>
                    <w:t xml:space="preserve"> carpet fibers.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2367205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Determining the Mechanism of Oxidation of β-Estradiol by Lactoperoxidase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Taylor Glenn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tglenn3@elon.edu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Taylor Glenn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Kathryn M. Matera</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Elon </w:t>
                  </w:r>
                  <w:proofErr w:type="gramStart"/>
                  <w:r w:rsidRPr="001F5B5C">
                    <w:rPr>
                      <w:rFonts w:ascii="Times New Roman" w:eastAsia="Times New Roman" w:hAnsi="Times New Roman"/>
                      <w:sz w:val="20"/>
                      <w:szCs w:val="20"/>
                    </w:rPr>
                    <w:t>University ,</w:t>
                  </w:r>
                  <w:proofErr w:type="gramEnd"/>
                  <w:r w:rsidRPr="001F5B5C">
                    <w:rPr>
                      <w:rFonts w:ascii="Times New Roman" w:eastAsia="Times New Roman" w:hAnsi="Times New Roman"/>
                      <w:sz w:val="20"/>
                      <w:szCs w:val="20"/>
                    </w:rPr>
                    <w:t xml:space="preserve"> Elon, NC, United States. </w:t>
                  </w:r>
                  <w:r w:rsidRPr="001F5B5C">
                    <w:rPr>
                      <w:rFonts w:ascii="Times New Roman" w:eastAsia="Times New Roman" w:hAnsi="Times New Roman"/>
                      <w:sz w:val="20"/>
                      <w:szCs w:val="20"/>
                    </w:rPr>
                    <w:br/>
                    <w:t xml:space="preserve">2. Elon University, Elon,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Estrogenic hormones, when oxidized, are known to present carcinogenic risk for humans. Free radical derivatives of estrogenic hormones, created through enzymatic oxidation reactions, may cause mutations of DNA. </w:t>
                  </w:r>
                  <w:proofErr w:type="gramStart"/>
                  <w:r w:rsidRPr="001F5B5C">
                    <w:rPr>
                      <w:rFonts w:ascii="Times New Roman" w:eastAsia="Times New Roman" w:hAnsi="Times New Roman"/>
                      <w:sz w:val="20"/>
                      <w:szCs w:val="20"/>
                    </w:rPr>
                    <w:t>β-Estradiol</w:t>
                  </w:r>
                  <w:proofErr w:type="gramEnd"/>
                  <w:r w:rsidRPr="001F5B5C">
                    <w:rPr>
                      <w:rFonts w:ascii="Times New Roman" w:eastAsia="Times New Roman" w:hAnsi="Times New Roman"/>
                      <w:sz w:val="20"/>
                      <w:szCs w:val="20"/>
                    </w:rPr>
                    <w:t>, in particular, is susceptible to oxidative changes by the enzyme lactoperoxidase (LPO). LPO is produced in the mammary glands, suggesting that this oxidation could be implicated in breast cancer. Therefore, this research looks to understand the mechanism by which β-estradiol is oxidized, to help understand how such oxidation could be prevented. Model studies of oxidation were performed with the hormone β-estradiol and known oxidizing agents, either hydrogen peroxide (H2O2), copper (II) salts, or a mixture of the two. Each oxidation reaction was monitored spectroscopically in order to quantify the oxidative change. The estradiol product from each model system was analyzed through NMR in order to identify the molecular structure of each. With these model studies complete, the reaction between β-estradiol and lactoperoxidase (LPO) was run. The oxidized product was analyzed the same way, comparing the results to each model system. Similarities in product structure from LPO-oxidation suggest similarities in reaction mechanisms.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2367311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Modification of fabric surfaces to prevent biofouling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Shaquana Douglas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quanad13@gmail.com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Timothy W. Hanks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Shaquana Douglas</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Godfrey Mbah</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 Greenville, SC, United States. </w:t>
                  </w:r>
                  <w:r w:rsidRPr="001F5B5C">
                    <w:rPr>
                      <w:rFonts w:ascii="Times New Roman" w:eastAsia="Times New Roman" w:hAnsi="Times New Roman"/>
                      <w:sz w:val="20"/>
                      <w:szCs w:val="20"/>
                    </w:rPr>
                    <w:br/>
                    <w:t xml:space="preserve">2. Chemistry, Johnson C. Smith University, Charlotte,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Polyester, cotton, nylon, and Lycra fabrics were coated with polypyrrole (PPy) and then treated with a thiol-terminated polyethylene glycol (PEG). The fabrics were characterized by surface resistivity, FTIR-ATR, thermogravimetric analysis, and contact angle measurements. Each fabric type was then exposed to E-coli </w:t>
                  </w:r>
                  <w:proofErr w:type="gramStart"/>
                  <w:r w:rsidRPr="001F5B5C">
                    <w:rPr>
                      <w:rFonts w:ascii="Times New Roman" w:eastAsia="Times New Roman" w:hAnsi="Times New Roman"/>
                      <w:sz w:val="20"/>
                      <w:szCs w:val="20"/>
                    </w:rPr>
                    <w:t>BL21(</w:t>
                  </w:r>
                  <w:proofErr w:type="gramEnd"/>
                  <w:r w:rsidRPr="001F5B5C">
                    <w:rPr>
                      <w:rFonts w:ascii="Times New Roman" w:eastAsia="Times New Roman" w:hAnsi="Times New Roman"/>
                      <w:sz w:val="20"/>
                      <w:szCs w:val="20"/>
                    </w:rPr>
                    <w:t>DE3) modified to express green fluorescent protein (GFP). After incubation, they were washed gently to remove non-adhered cells. The relative amount of e-coli adsorbed on the uncoated fabric, fabric-PPy, and fabric-PPy-PEG were determined using fluoremetry. For the polyester, nylon, and lycra fabrics, GFP evaluation showed that there were significantly less e-coli adsorbed on the fabric-PPy-PEG as compared to the fabric-PPy and the uncoated fabrics. For the cotton fabric, the GFP evaluation suggested that there were less e-coli on the fabric-PPy-PEG but the evidence was not as conclusive.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2367338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Biological Activity of Hibiscone C</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Jordan Craig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jordanlcraig@gmail.com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Jordan L. Craig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Brian C. Goess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Blythewood, SC, United States. </w:t>
                  </w:r>
                  <w:r w:rsidRPr="001F5B5C">
                    <w:rPr>
                      <w:rFonts w:ascii="Times New Roman" w:eastAsia="Times New Roman" w:hAnsi="Times New Roman"/>
                      <w:sz w:val="20"/>
                      <w:szCs w:val="20"/>
                    </w:rPr>
                    <w:br/>
                    <w:t xml:space="preserve">2. Dept of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sesquiterpene furanosteroid family includes molecules such as hibiscone C and wortmannin. Wortmannin, a natural product in this family, is of interest because of its ability to inhibit PI3-K, an enzyme important to cell growth and differentiation. The natural product is very unstable because of its reactivity towards water in aqueous solutions, making it unideal as a practical inhibitor in vivo. Understanding the inhibition of PI3-K is important when considering cancerous cell proliferation and survival. Biological activity of hibiscone C has shown to inhibit the PI3-K.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2367412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(7-Oxa)norborene Derivatives Containing TEMPO and PEG for the Production of Copolymeric Materials via ROMP with Potential Vasodilating Properties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Carl Jones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cj03223@georgiasouthern.edu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Carl A. Jones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Helen Saenz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Hans J. Schanz</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Georgia Southern University, Statesboro,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reducing properties of the 2</w:t>
                  </w:r>
                  <w:proofErr w:type="gramStart"/>
                  <w:r w:rsidRPr="001F5B5C">
                    <w:rPr>
                      <w:rFonts w:ascii="Times New Roman" w:eastAsia="Times New Roman" w:hAnsi="Times New Roman"/>
                      <w:sz w:val="20"/>
                      <w:szCs w:val="20"/>
                    </w:rPr>
                    <w:t>,2,6,6</w:t>
                  </w:r>
                  <w:proofErr w:type="gramEnd"/>
                  <w:r w:rsidRPr="001F5B5C">
                    <w:rPr>
                      <w:rFonts w:ascii="Times New Roman" w:eastAsia="Times New Roman" w:hAnsi="Times New Roman"/>
                      <w:sz w:val="20"/>
                      <w:szCs w:val="20"/>
                    </w:rPr>
                    <w:t>-tetramethylpiperidine-1-oxidyl (TEMPO) group have been used to regulate the concentration of reactive oxygen species (ROS) in mammalian and human tissue. Excessive concentrations of ROS cause inflammation and hence, vasoconstriction. TEMPO derivatives have been demonstrated to offset this effect. Polyethylene glycol is a biocompatible, water-soluble polymer which reduces the response of the immune system to body foreign entities. Our project focuses on the efficient production of copolymers which contain both functionalities, PEG and TEMPO, and investigate those for potential medical applications. For this purpose we designed a template synthesis of (7-oxa</w:t>
                  </w:r>
                  <w:proofErr w:type="gramStart"/>
                  <w:r w:rsidRPr="001F5B5C">
                    <w:rPr>
                      <w:rFonts w:ascii="Times New Roman" w:eastAsia="Times New Roman" w:hAnsi="Times New Roman"/>
                      <w:sz w:val="20"/>
                      <w:szCs w:val="20"/>
                    </w:rPr>
                    <w:t>)norbornene</w:t>
                  </w:r>
                  <w:proofErr w:type="gramEnd"/>
                  <w:r w:rsidRPr="001F5B5C">
                    <w:rPr>
                      <w:rFonts w:ascii="Times New Roman" w:eastAsia="Times New Roman" w:hAnsi="Times New Roman"/>
                      <w:sz w:val="20"/>
                      <w:szCs w:val="20"/>
                    </w:rPr>
                    <w:t xml:space="preserve"> derivatives where we are able to attach PEG and TEMPO via click reaction in the final step. These derivatives can be polymerized to give new copolymers via ring opening metathesis polymerization (ROMP) using a 3</w:t>
                  </w:r>
                  <w:r w:rsidRPr="001F5B5C">
                    <w:rPr>
                      <w:rFonts w:ascii="Times New Roman" w:eastAsia="Times New Roman" w:hAnsi="Times New Roman"/>
                      <w:sz w:val="20"/>
                      <w:szCs w:val="20"/>
                      <w:vertAlign w:val="superscript"/>
                    </w:rPr>
                    <w:t>rd</w:t>
                  </w:r>
                  <w:r w:rsidRPr="001F5B5C">
                    <w:rPr>
                      <w:rFonts w:ascii="Times New Roman" w:eastAsia="Times New Roman" w:hAnsi="Times New Roman"/>
                      <w:sz w:val="20"/>
                      <w:szCs w:val="20"/>
                    </w:rPr>
                    <w:t xml:space="preserve"> generation Grubbs-type olefin metathesis catalyst. We anticipate that these materials are metabolized slowly and hence may be able to maintain their vasodilating properties significantly longer than low-molecular weight TEMPO compounds.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2367416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Functionalizing (7-Oxa)norbornene Derivatives with TEMPO and PEG via Click Reaction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Caleb Bohannon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cb06635@georgiasouthern.edu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Caleb Bohannon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Sarah E. Roessler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Hans J. Schanz</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Georgia Southern University, Statesboro,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our search for a stable, extracellular form of hemoglobin that can be used as an efficient and storable substitute for red blood cells which is compatible with any blood type, we are developing new polymers containing 2,2,6,6-tetramethylpiperdinoxidyl (TEMPO) groups and polyethylene glycol (PEG) to a polymer. We anticipate that hemoglobin can be modified with these copolymers to offset the toxic side effects of cell-free hemoglobin. Key to the template synthesis of monomers which can be polymerized via ring opening metathesis polymerization is the 1</w:t>
                  </w:r>
                  <w:proofErr w:type="gramStart"/>
                  <w:r w:rsidRPr="001F5B5C">
                    <w:rPr>
                      <w:rFonts w:ascii="Times New Roman" w:eastAsia="Times New Roman" w:hAnsi="Times New Roman"/>
                      <w:sz w:val="20"/>
                      <w:szCs w:val="20"/>
                    </w:rPr>
                    <w:t>,3</w:t>
                  </w:r>
                  <w:proofErr w:type="gramEnd"/>
                  <w:r w:rsidRPr="001F5B5C">
                    <w:rPr>
                      <w:rFonts w:ascii="Times New Roman" w:eastAsia="Times New Roman" w:hAnsi="Times New Roman"/>
                      <w:sz w:val="20"/>
                      <w:szCs w:val="20"/>
                    </w:rPr>
                    <w:t xml:space="preserve"> Huisgen cycloaddition, aka click reaction, which can bind these functionalities to a modified norbornene derivative using the click-reaction. We have investigated two major pathways by using (oxa</w:t>
                  </w:r>
                  <w:proofErr w:type="gramStart"/>
                  <w:r w:rsidRPr="001F5B5C">
                    <w:rPr>
                      <w:rFonts w:ascii="Times New Roman" w:eastAsia="Times New Roman" w:hAnsi="Times New Roman"/>
                      <w:sz w:val="20"/>
                      <w:szCs w:val="20"/>
                    </w:rPr>
                    <w:t>)norbornene</w:t>
                  </w:r>
                  <w:proofErr w:type="gramEnd"/>
                  <w:r w:rsidRPr="001F5B5C">
                    <w:rPr>
                      <w:rFonts w:ascii="Times New Roman" w:eastAsia="Times New Roman" w:hAnsi="Times New Roman"/>
                      <w:sz w:val="20"/>
                      <w:szCs w:val="20"/>
                    </w:rPr>
                    <w:t xml:space="preserve"> azides and alkyne-modified TEMPO and PEG as well as the reverse, with (oxa)norbornene alkynes and TEMPO and PEG azides. We will present findings of the efficiency of the coupling reactions and polymerization of the functional monomers.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2367449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Design and Synthesis of Tetrahydro-β-Carbolines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Denzel Cain | Bruce Egbudin | Mikel Reynolds | Blake Schumann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dcain@georgetowncollege.edu | begbudin@georgetowncollege.edu | mreynol0@georgetowncollege.edu | bschumann@georgetowncollege.edu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Denzel Cain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Bruce Egbudin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Mikel Reynolds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Blake Schumann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Patrick G. Sheridan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Georgetown College, Georgetown, KY,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Tetrahydro-β-carbolines (Tryptolines) are a part of the indole alkaloid family and are found in many plants and animals. They possess a wide range of biological activities including: antimalarial, antibacterial, and antifungal. Many tryptolines are also known to be competitive selective monoamine oxidase inhibitors (MAOIs) used for the treatment of depression and anxiety. Herein we report the synthesis of a small library of 1-substituted tryptoline compounds via the Pictet-Spengler reaction.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6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2367487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polyphenylethynylarenes as antitumor agents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Christopher Fisher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ccfisher@mc.edu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Christopher Fisher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Trent D. Selby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&amp; Biochemistry, Mississippi College,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syntheses of a variety of polyphenylethynylarenes are reported here. Starting with 1,2,4,5-tetraiodobenzene and reacting with various arylacetylenes under Sonogashira coupling conditions, [Pd(PPh)</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Cl</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afforded the 1,2,4,5-tetrakis(2-arylethynyl)benzene derivatives in high yields. 1,2,4,5-Tetraiodobenzene was prepared from the reaction of benzene with periodic acid / potassium iodide in concentrated sulfuric acid and isolated in a 60% purified yield. The polyphenylethynylarene molecules are potential antitumor agents.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2367500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Characterization of halogen bond interactions in thiophene-based building blocks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Jamey Wilson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jlwilso5@go.olemiss.edu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Jamey L. Wilson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Chesney Petkovsek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Peyton L. Reves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Jon Williams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Jonah W. Jurss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Nathan Hammer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Gregory S. Tschumper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Davita L. Watkins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University of Mississippi, Oxford,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Organic semiconducting devices such as organic light emitting diodes (OLEDs) and organic photovoltaics (OPV) offer an alternative to inorganic electronics as they consist of low cost, flexible, and eco-friendly materials. However, the efficiency of these devices depends significantly on the supramolecular structure formed by the organic molecules. Non-covalent interactions—such as halogen bonding (XB)—have shown to act as powerful tools for programming nanoscale architectures. Halogen bonds, analogous to hydrogen bonds, are interactions between Lewis acidic halogen atoms and electron-pair donating heteroatoms. Reported is the analysis of supramolecular structures formed by thiophene-based building blocks equipped with self-assembling halogen bonding (XB) domains. Solution phase studies of XB complexations between nitrogen containing heterocycles and aryl-halides were conducted using nuclear magnetic resonance (NMR) and Raman spectroscopy. Among the XB assemblies, 1:1 complexation of pyridine derivatives and iodopentafluorobenzene exhibited the strongest interaction. Along with computational methods, pyridyl thiophene derivatives were designed and synthesized via Stille coupling. X-ray crystallography was used to investigate the natural solid state packing abilities of the single components and their XB assembly. Thermal analysis using thermogravimetric analysis (TGA) and differential scanning calorimetry (DSC) revealed that co-crystals containing iodopentafluorobenzene exhibit higher decomposition temperatures. The results of the study speak to the use of halogen bonding molecules in organic electronic device application.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Design and synthesis of hybrid furan-based oligomers for application in optoelectronic devices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Ngoc 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ngocle100194@gmail.com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Ngoc 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Jon Williams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Davita L. Watkins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University of Mississippi, Oxford,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In the field of organic electronics, there is a need for new semiconducting materials possessing properties that afford high efficiency devices. It is well established that thiophene containing molecules are the most commonly used organic materials because of their superior electronic properties. However, oligothiophenes tend to suffer from low solubility and inefficient luminescence. Recently, studies have emerged focusing on their close analogues, oligofurans. Replacement of the sulfur atom with oxygen yields electron-rich oligomers having a greater dipole resulting in </w:t>
                  </w:r>
                  <w:proofErr w:type="gramStart"/>
                  <w:r w:rsidRPr="001F5B5C">
                    <w:rPr>
                      <w:rFonts w:ascii="Times New Roman" w:eastAsia="Times New Roman" w:hAnsi="Times New Roman"/>
                      <w:sz w:val="20"/>
                      <w:szCs w:val="20"/>
                    </w:rPr>
                    <w:t>both higher</w:t>
                  </w:r>
                  <w:proofErr w:type="gramEnd"/>
                  <w:r w:rsidRPr="001F5B5C">
                    <w:rPr>
                      <w:rFonts w:ascii="Times New Roman" w:eastAsia="Times New Roman" w:hAnsi="Times New Roman"/>
                      <w:sz w:val="20"/>
                      <w:szCs w:val="20"/>
                    </w:rPr>
                    <w:t xml:space="preserve"> solubility and fluorescence as well as rigidity. However, furans possess relatively high-lying HOMOs making them more susceptible to decomposition. Reported is the synthesis and characterization of novel hybrid furan-based building blocks for semiconducting materials. To provide better comparison, the synthesis of the hybrid systems via Stille coupling was completed in parallel with fully-thiophene congeners and characterized by nuclear magnetic resonance (NMR) spectroscopy. These hybrid oligomers—as opposed to the corresponding oligothiophene congeners—are highly solution-processable and display ~10 </w:t>
                  </w:r>
                  <w:r w:rsidRPr="001F5B5C">
                    <w:rPr>
                      <w:rFonts w:ascii="Times New Roman" w:eastAsia="Times New Roman" w:hAnsi="Times New Roman"/>
                      <w:sz w:val="20"/>
                      <w:szCs w:val="20"/>
                      <w:vertAlign w:val="superscript"/>
                    </w:rPr>
                    <w:t>o</w:t>
                  </w:r>
                  <w:r w:rsidRPr="001F5B5C">
                    <w:rPr>
                      <w:rFonts w:ascii="Times New Roman" w:eastAsia="Times New Roman" w:hAnsi="Times New Roman"/>
                      <w:sz w:val="20"/>
                      <w:szCs w:val="20"/>
                    </w:rPr>
                    <w:t xml:space="preserve">C difference in stability evident from thermal decomposition temperatures. In addition, the hybrid materials feature absorbance onset values within the 600 nm </w:t>
                  </w:r>
                  <w:proofErr w:type="gramStart"/>
                  <w:r w:rsidRPr="001F5B5C">
                    <w:rPr>
                      <w:rFonts w:ascii="Times New Roman" w:eastAsia="Times New Roman" w:hAnsi="Times New Roman"/>
                      <w:sz w:val="20"/>
                      <w:szCs w:val="20"/>
                    </w:rPr>
                    <w:t>range—</w:t>
                  </w:r>
                  <w:proofErr w:type="gramEnd"/>
                  <w:r w:rsidRPr="001F5B5C">
                    <w:rPr>
                      <w:rFonts w:ascii="Times New Roman" w:eastAsia="Times New Roman" w:hAnsi="Times New Roman"/>
                      <w:sz w:val="20"/>
                      <w:szCs w:val="20"/>
                    </w:rPr>
                    <w:t>in good agreement with most efficient semiconducting molecules. The results indicate that furan-based hybrid oligomers can yield stable organic electronic devices possessing optical and charge carrier mobilities that are comparable to—even surpass—those of the commonly used oligothiophene.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2367513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flat dendrimers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Alexa Zylstra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arzylstra@mc.edu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Alexa Zylstra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Trent D. Selby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&amp; Biochemistry, Mississippi College,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Organic structures that are highly-conjugated (π-resonance) are useful materials for advanced electronic and photonic applications. We report here the preparation of highly-conjugated, flat, ethynyl dendrimers with ether linkages between the dendritic arms. Dendritic architectures, by definition, are spherical, three-dimensional structures that branch outward in a symmetrical fashion. Typical ethynyl dendrimers have poor conjugation due to rotation/twisting about the bonds. We seek to redefine the term dendrimer by constructing two-dimensional structures. Tying the arms of the dendrimer together by cylclization will avoid any twisting or rotation about the bonds and should promote better conjugation throughout the structure.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2367521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2-dimensional aminopolyphenylethynylarenes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Elliott Taylor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entaylor@mc.edu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Elliott Taylor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Bismah Hasan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Trent D. Selby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&amp; Biochemistry, Mississippi College,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Molecules containing high degrees of </w:t>
                  </w:r>
                  <w:r w:rsidRPr="001F5B5C">
                    <w:rPr>
                      <w:rFonts w:ascii="Times New Roman" w:eastAsia="Times New Roman" w:hAnsi="Times New Roman"/>
                      <w:i/>
                      <w:iCs/>
                      <w:sz w:val="20"/>
                      <w:szCs w:val="20"/>
                    </w:rPr>
                    <w:t>π</w:t>
                  </w:r>
                  <w:r w:rsidRPr="001F5B5C">
                    <w:rPr>
                      <w:rFonts w:ascii="Times New Roman" w:eastAsia="Times New Roman" w:hAnsi="Times New Roman"/>
                      <w:sz w:val="20"/>
                      <w:szCs w:val="20"/>
                    </w:rPr>
                    <w:t>-conjugation are ideal materials for advanced electronic and photonic applications. Conjugation should be promoted by constructing flat 2-dimensional architectures. We report here, the synthesis of highly-conjugated 2-dimensional aminopolyphenylethynylarenes. The synthesis begins with alkynylation of 3-nitro-1-bromobenzene with trimethylsilylacetylene under Sonogashira coupling conditions. The resulting alkyne is deprotected under mild conditions using potassium carbonate and methanol to give 1-ethynyl-3-nitrobenzene in high yield. This key intermediate, 1-ethynyl-3-nitrobenzene, can be used to synthesize a large variety of flat 2-dimensional structures. Additionally, these nitrogen containing molecules can easily be oxidized to radical cations giving rise to some unique electronic properties.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2367696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conjugated macrocyclic polyphenylethynylarenes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Lauren Bicker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albicker@mc.edu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Lauren Bicker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Trent D. Selby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&amp; Biochemistry, Mississippi College, Raymond,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series of “flat” two-dimensional macrocyclic polyphenylethynylarenes were prepared in good yields. The syntheses involved Sonogashira coupling of phenylethynylarenes with the appropriate aryl halides followed by cyclization with ether linkages. Cyclization reduces twisting and promotes electron conjugation throughout the structures. These “flat” molecules are expected to show directed energy and electron transfer within a highly conjugated system and may potentially be effective in the preparation of photoreactive materials such as electronic sensors or light harvesting materials.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optimization of catalytic loading in benzoxaborole synthesis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Colin Macintosh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macintoshcp@guilford.edu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Colin P. Macintosh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Anne G. Glenn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Stephen Flower</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Keryn Murlock</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Guilford College, Greensboro, NC, United States. </w:t>
                  </w:r>
                  <w:r w:rsidRPr="001F5B5C">
                    <w:rPr>
                      <w:rFonts w:ascii="Times New Roman" w:eastAsia="Times New Roman" w:hAnsi="Times New Roman"/>
                      <w:sz w:val="20"/>
                      <w:szCs w:val="20"/>
                    </w:rPr>
                    <w:br/>
                    <w:t xml:space="preserve">2. Univ of North Carolina, Greensboro, NC, United States. </w:t>
                  </w:r>
                  <w:r w:rsidRPr="001F5B5C">
                    <w:rPr>
                      <w:rFonts w:ascii="Times New Roman" w:eastAsia="Times New Roman" w:hAnsi="Times New Roman"/>
                      <w:sz w:val="20"/>
                      <w:szCs w:val="20"/>
                    </w:rPr>
                    <w:br/>
                    <w:t xml:space="preserve">3. Univerity of Bath, Bath, United Kingdom.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Substituted benzoxaborole compounds have been used as medicinally active compounds</w:t>
                  </w:r>
                  <w:r w:rsidRPr="001F5B5C">
                    <w:rPr>
                      <w:rFonts w:ascii="Times New Roman" w:eastAsia="Times New Roman" w:hAnsi="Times New Roman"/>
                      <w:sz w:val="20"/>
                      <w:szCs w:val="20"/>
                    </w:rPr>
                    <w:br/>
                    <w:t>since their discovery in the 1950’s. We describe our attempts to reduce catalytic loading</w:t>
                  </w:r>
                  <w:proofErr w:type="gramStart"/>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br/>
                    <w:t>achieve enantioselectivity, and perfect purification methods in a novel synthesis of a</w:t>
                  </w:r>
                  <w:r w:rsidRPr="001F5B5C">
                    <w:rPr>
                      <w:rFonts w:ascii="Times New Roman" w:eastAsia="Times New Roman" w:hAnsi="Times New Roman"/>
                      <w:sz w:val="20"/>
                      <w:szCs w:val="20"/>
                    </w:rPr>
                    <w:br/>
                    <w:t>benzoxaborole-based compound while maintaining high yields, minimal reaction times, and</w:t>
                  </w:r>
                  <w:r w:rsidRPr="001F5B5C">
                    <w:rPr>
                      <w:rFonts w:ascii="Times New Roman" w:eastAsia="Times New Roman" w:hAnsi="Times New Roman"/>
                      <w:sz w:val="20"/>
                      <w:szCs w:val="20"/>
                    </w:rPr>
                    <w:br/>
                    <w:t>easily achievable reaction conditions.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2367753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a Fluorescent Universal DNA Nucleoside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Tyler Kaelin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tyler.kaelin@vikings.berry.edu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Tyler Kaelin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Jade N. Izaguirre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Lindsey Davis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Berry College, Mount Berry, GA, United States. </w:t>
                  </w:r>
                  <w:r w:rsidRPr="001F5B5C">
                    <w:rPr>
                      <w:rFonts w:ascii="Times New Roman" w:eastAsia="Times New Roman" w:hAnsi="Times New Roman"/>
                      <w:sz w:val="20"/>
                      <w:szCs w:val="20"/>
                    </w:rPr>
                    <w:br/>
                    <w:t xml:space="preserve">2. Chemistry, Berry College, Milton,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Fluorescence is a highly desirable property for a synthetic DNA base because it allows for the study of the structure of DNA and the ability to monitor its interaction with other compounds. In addition, a base that is universal can be integrated into a strand of DNA and have minimal effects on the strand’s stability. The goal of our project is to synthesize a fluorescent universal DNA nucleoside containing dimethylaminonaphthylimide (DANI). Our progress of this synthesis will be reported. After the incorporation into DNA, DANI will then be used in various protein binding studies.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a Sulfate Binding Ligand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Dryja Parker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parkercdryja@gmail.com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Dryja Parker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Nathan Duncan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Maryville College, Maryville, TN, United States. </w:t>
                  </w:r>
                  <w:r w:rsidRPr="001F5B5C">
                    <w:rPr>
                      <w:rFonts w:ascii="Times New Roman" w:eastAsia="Times New Roman" w:hAnsi="Times New Roman"/>
                      <w:sz w:val="20"/>
                      <w:szCs w:val="20"/>
                    </w:rPr>
                    <w:br/>
                    <w:t xml:space="preserve">2. Natural Sciences, Maryville College, Knoxville,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the pursuit of searching for viable sources of alternative energy, nuclear fission stands as a strong potential candidate; the large amount of energy yields that are returned from relatively small amounts of fuel – combined with increasingly efficient reactor technology – makes nuclear fission an appealing method to generate energy compared to conventional methods. This method is not without drawbacks, however, and the effective and safe storage of nuclear waste remains an issue. Species of sulfate anions that are commonly found within both high and low level nuclear waste destabilize vitrified waste products, and pose a serious risk to the environment should a containment vessel be breached in the thousands of years it takes for the radioactive waste to decay to safe levels of radioactivity. In this experiment, synthesis of a predetermined ligand that would have the ability to extract sulfate anions from water was explored. Each ligand synthesized comprised of the same basic features of a guanidine backbone disubstituted with phenylureas, but were varied in functional groups to alter secondary characteristics such as solubility and melting point. These basic features of each ligand theoretically allow two ligands to encapsulate a single sulfate anion through donation of 12 total hydrogen bonds as well as complementary charge and structure.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2368072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Investigation of the shape of Atropisomers using Dipolar couplings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Emily Schiller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eeschiller42@students.tntech.edu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Emily E. Schiller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William Carroll</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Califronia Institute of Technology, Cookeville, TN, United States. </w:t>
                  </w:r>
                  <w:r w:rsidRPr="001F5B5C">
                    <w:rPr>
                      <w:rFonts w:ascii="Times New Roman" w:eastAsia="Times New Roman" w:hAnsi="Times New Roman"/>
                      <w:sz w:val="20"/>
                      <w:szCs w:val="20"/>
                    </w:rPr>
                    <w:br/>
                    <w:t xml:space="preserve">2. Tennessee Technological University, Cookeville,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project encompasses the synthesis of an atropisomer and the determination of the shape of each conformer of the molecule using dipolar couplings measured by NMR spectroscopy. This research hopes to give us a means to address fundamental problems in determining the shapes of simple flexible molecules, thus making progress towards looking at more complicated flexible systems.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7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2368161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Decarboxylative protein functionalization via photoredox catalysis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Menase Daemo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menase86@gmail.com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Menase Daemo</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w:t>
                  </w:r>
                  <w:proofErr w:type="gramStart"/>
                  <w:r w:rsidRPr="001F5B5C">
                    <w:rPr>
                      <w:rFonts w:ascii="Times New Roman" w:eastAsia="Times New Roman" w:hAnsi="Times New Roman"/>
                      <w:sz w:val="20"/>
                      <w:szCs w:val="20"/>
                    </w:rPr>
                    <w:t>Chemistry ,</w:t>
                  </w:r>
                  <w:proofErr w:type="gramEnd"/>
                  <w:r w:rsidRPr="001F5B5C">
                    <w:rPr>
                      <w:rFonts w:ascii="Times New Roman" w:eastAsia="Times New Roman" w:hAnsi="Times New Roman"/>
                      <w:sz w:val="20"/>
                      <w:szCs w:val="20"/>
                    </w:rPr>
                    <w:t xml:space="preserve"> Jackson State University, Jackson, MS, United States. </w:t>
                  </w:r>
                  <w:r w:rsidRPr="001F5B5C">
                    <w:rPr>
                      <w:rFonts w:ascii="Times New Roman" w:eastAsia="Times New Roman" w:hAnsi="Times New Roman"/>
                      <w:sz w:val="20"/>
                      <w:szCs w:val="20"/>
                    </w:rPr>
                    <w:br/>
                    <w:t xml:space="preserve">2. </w:t>
                  </w:r>
                  <w:proofErr w:type="gramStart"/>
                  <w:r w:rsidRPr="001F5B5C">
                    <w:rPr>
                      <w:rFonts w:ascii="Times New Roman" w:eastAsia="Times New Roman" w:hAnsi="Times New Roman"/>
                      <w:sz w:val="20"/>
                      <w:szCs w:val="20"/>
                    </w:rPr>
                    <w:t>Chemistry ,</w:t>
                  </w:r>
                  <w:proofErr w:type="gramEnd"/>
                  <w:r w:rsidRPr="001F5B5C">
                    <w:rPr>
                      <w:rFonts w:ascii="Times New Roman" w:eastAsia="Times New Roman" w:hAnsi="Times New Roman"/>
                      <w:sz w:val="20"/>
                      <w:szCs w:val="20"/>
                    </w:rPr>
                    <w:t xml:space="preserve"> Princeton University , Princeton , NJ,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Current cancer therapies lack tumor selectivity. Antibody Drug Conjugates make use of antibodies with specific affinity to antigens over expressed on tumor cells, thus conferring improved target specificity. However, controlling the Drug to Antibody Ratio (DAR) and achieving Site-Specific Conjugation continue to be challenges in this field. This research is focused on employing photoredox catalysis to address this problem. Decarboxylative functionalization of small peptides with michael acceptors has been accomplished in aqueous/organic environments via visible light-mediated photoredox catalysis.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2368263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a BIPY-urea Ligand for the Extraction of Sulfate Anions from a Competitive Aqueous Environment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Cody Kidd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cody.kidd@my.maryvillecollege.edu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Cody Kidd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Nathan Duncan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Natural Science, Maryville College, Knoxville, TN, United States. </w:t>
                  </w:r>
                  <w:r w:rsidRPr="001F5B5C">
                    <w:rPr>
                      <w:rFonts w:ascii="Times New Roman" w:eastAsia="Times New Roman" w:hAnsi="Times New Roman"/>
                      <w:sz w:val="20"/>
                      <w:szCs w:val="20"/>
                    </w:rPr>
                    <w:br/>
                    <w:t xml:space="preserve">2. Natural Sciences, Maryville College, Knoxville,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sulfate anions within nuclear waste cause many complications including: damaging machinery used in the vitrification process, decreasing the durability of the vitrified product, and leaving voids in the vitrified waste exposing radioactive molecules to the environment. Producing a product that has the ability to remove these anions is the overall goal of this research which consists of a multi step organic synthesis to obtain a BIPY-urea ligand. This ligand has the capability to donate twelve hydrogen bonds, and is hypothesized to bind and encapsulate sulfate ions to be separated from competitive environments. The point of interest for this research is this ligand has the potential to improve the vitrification process and long term storage of nuclear waste. This will be accomplished through the binding of the sulfate anions contained in the waste followed by removal of the final structure.</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2368279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Metal-Free Hydration of Terminal Alkynes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Jacob Thompson | Sam Sulcer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jacttho1@ut.utm.edu | samasulc@ut.utm.edu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Phillip A. Shelton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Hannah W. Robison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Jacob Thompson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Sam Sulcer</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Tennessee at Martin, Martin, TN, United States. </w:t>
                  </w:r>
                  <w:r w:rsidRPr="001F5B5C">
                    <w:rPr>
                      <w:rFonts w:ascii="Times New Roman" w:eastAsia="Times New Roman" w:hAnsi="Times New Roman"/>
                      <w:sz w:val="20"/>
                      <w:szCs w:val="20"/>
                    </w:rPr>
                    <w:br/>
                    <w:t xml:space="preserve">2. Chemistry, University of Tennessee at Martin, Martin, TN, United States. </w:t>
                  </w:r>
                  <w:r w:rsidRPr="001F5B5C">
                    <w:rPr>
                      <w:rFonts w:ascii="Times New Roman" w:eastAsia="Times New Roman" w:hAnsi="Times New Roman"/>
                      <w:sz w:val="20"/>
                      <w:szCs w:val="20"/>
                    </w:rPr>
                    <w:br/>
                    <w:t xml:space="preserve">3. Chemistry, University of Tennessee at Martin, Linden,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Most instances where terminal alkynes are hydrated, </w:t>
                  </w:r>
                  <w:proofErr w:type="gramStart"/>
                  <w:r w:rsidRPr="001F5B5C">
                    <w:rPr>
                      <w:rFonts w:ascii="Times New Roman" w:eastAsia="Times New Roman" w:hAnsi="Times New Roman"/>
                      <w:sz w:val="20"/>
                      <w:szCs w:val="20"/>
                    </w:rPr>
                    <w:t>a heavy</w:t>
                  </w:r>
                  <w:proofErr w:type="gramEnd"/>
                  <w:r w:rsidRPr="001F5B5C">
                    <w:rPr>
                      <w:rFonts w:ascii="Times New Roman" w:eastAsia="Times New Roman" w:hAnsi="Times New Roman"/>
                      <w:sz w:val="20"/>
                      <w:szCs w:val="20"/>
                    </w:rPr>
                    <w:t xml:space="preserve"> metal mercury compound such as mercuric oxide is used. Our group has found a method that gives the same product but uses no heavy metal. Through employment of a microwave reactor good yields were obtained of the Markovnikov carbonyl ketone.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2368295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Synthesis of Organic Compounds with Biological Properties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Natasha Wells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nvwells22@gmail.com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Natasha Wells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Melissa Teel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Cornelia Tirla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Ben Bahr</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The University of North Carolina at Pembroke, Fayetteville, NC, United States. </w:t>
                  </w:r>
                  <w:r w:rsidRPr="001F5B5C">
                    <w:rPr>
                      <w:rFonts w:ascii="Times New Roman" w:eastAsia="Times New Roman" w:hAnsi="Times New Roman"/>
                      <w:sz w:val="20"/>
                      <w:szCs w:val="20"/>
                    </w:rPr>
                    <w:br/>
                    <w:t xml:space="preserve">2. William C. Friday Laboratory, Pembroke,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Alzheimer’s Disease is a neurological disease growing steadfast in our aging population. Research has determined that Cathepsin B, enzymatic proteins are linked to the lysosomal activity in clearing tau protein accumulation.</w:t>
                  </w:r>
                  <w:r w:rsidRPr="001F5B5C">
                    <w:rPr>
                      <w:rFonts w:ascii="Times New Roman" w:eastAsia="Times New Roman" w:hAnsi="Times New Roman"/>
                      <w:sz w:val="20"/>
                      <w:szCs w:val="20"/>
                    </w:rPr>
                    <w:br/>
                    <w:t>Exploration of the PADK molecule will lead to a conclusion of the biological properties linked to linear structure of the molecule, connected nitrogen atoms, or polarity of the compound. PADK and its derivatives were researched using classical organic chemistry methods to determine which of those components were responsible for the effective biological properties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2368424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the Disaccharide Moiety of the Natural Product OSW-1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Matthew Barron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Matthew.D.Barron-1@ou.edu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Matthew Barron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Arts and Sciences, University of Oklahoma, Norman,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ABSTRACT</w:t>
                  </w:r>
                  <w:r w:rsidRPr="001F5B5C">
                    <w:rPr>
                      <w:rFonts w:ascii="Times New Roman" w:eastAsia="Times New Roman" w:hAnsi="Times New Roman"/>
                      <w:sz w:val="20"/>
                      <w:szCs w:val="20"/>
                    </w:rPr>
                    <w:br/>
                    <w:t>The natural product molecule OSW-1 has been shown to exhibit potent anti-cancer properties through a novel mechanism of action. The structure of OSW-1 contains two main components: a disaccharide and a sterol. My project has been to assist in the laboratory synthesis of the OSW-1 disaccharide and its analog compounds. The new OSW-1 analog compounds created will be tested for anti-cancer activity. The purpose of these tests will be to determine the active component of the molecule as well as what modifications can be made to it to improve its anti-cancer properties. These experiments will produce an optimized version of the OSW-1 for further preclinical drug development. Our efforts to synthesize the OSW-1 disaccharide generated many unexpected and unidentified side products. To identify the structure of these various products, I used chromatography, including high-performance liquid chromatography (HPLC), to purify the disaccharide analogs. I then analyzed the purified compounds with NMR and mass spectroscopy to determine the identity of the compounds. My identification of the new side product disaccharide compounds could be used to prepare new OSW-1 for evaluation and testing.</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2368441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Novel N-benzylbenzamide- ased tyrosinase inhibitors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 Monteith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daniel.monteith@furman.edu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Daniel Monteith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Greg G. Springsteen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tyrosinase enzyme is a copper-containing enzyme which is a key component in the production of melanin. Inhibition of </w:t>
                  </w:r>
                  <w:proofErr w:type="gramStart"/>
                  <w:r w:rsidRPr="001F5B5C">
                    <w:rPr>
                      <w:rFonts w:ascii="Times New Roman" w:eastAsia="Times New Roman" w:hAnsi="Times New Roman"/>
                      <w:sz w:val="20"/>
                      <w:szCs w:val="20"/>
                    </w:rPr>
                    <w:t>tyrosinase,</w:t>
                  </w:r>
                  <w:proofErr w:type="gramEnd"/>
                  <w:r w:rsidRPr="001F5B5C">
                    <w:rPr>
                      <w:rFonts w:ascii="Times New Roman" w:eastAsia="Times New Roman" w:hAnsi="Times New Roman"/>
                      <w:sz w:val="20"/>
                      <w:szCs w:val="20"/>
                    </w:rPr>
                    <w:t xml:space="preserve"> could have many positive impacts, ranging from cosmetic applications, such as removal of freckles, to pesticides directly targeting insect development, as well as treatments for skin cancer. To date, quite a few types of tyrosinase inhibitors and their derivatives have been discovered and explored. However, a more recent class of inhibitors, the N-benzylbenzamide derivatives, have only been discovered and researched within the last decade. Although </w:t>
                  </w:r>
                  <w:proofErr w:type="gramStart"/>
                  <w:r w:rsidRPr="001F5B5C">
                    <w:rPr>
                      <w:rFonts w:ascii="Times New Roman" w:eastAsia="Times New Roman" w:hAnsi="Times New Roman"/>
                      <w:sz w:val="20"/>
                      <w:szCs w:val="20"/>
                    </w:rPr>
                    <w:t>this class of inhibitors shows promise</w:t>
                  </w:r>
                  <w:proofErr w:type="gramEnd"/>
                  <w:r w:rsidRPr="001F5B5C">
                    <w:rPr>
                      <w:rFonts w:ascii="Times New Roman" w:eastAsia="Times New Roman" w:hAnsi="Times New Roman"/>
                      <w:sz w:val="20"/>
                      <w:szCs w:val="20"/>
                    </w:rPr>
                    <w:t>, only a few papers have been published exploring this class’ potential as tyrosinase inhibitors, and current research focuses only on modification of the benzene rings of N-benzylbenzamide. A potential area of research for N-benzylbenzamide derivate inhibitors is to attach functional groups to both the nitrogen and the secondary carbon attached to the nitrogen. Synthetic progress will be presented towards attaching different functional groups to increasing the size of the pi systems as well as incorporating electron withdrawing and donating groups.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2368446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Selective reduction of carbonyl and nitro groups by fruits and vegetables.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Jacqkis Davis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jxd5345@louisiana.edu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Jacqkis Davis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August A. Gallo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Dept of Chemistry, Univ of Louisiana Lafayette, Lafayette,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 variety of 15 fruits and 16 vegetables have been evaluated as biocatalysts for the reduction of several different functional groups. Several researchers have reported the use of plant cultures for the reduction of carbonyl groups including prochiral ketones to chiral alcohols in high yield. Our work focused on some fruits and vegetables not previously reported and their biocatalytic effect on di- and multifunctional molecules. The vegetables that looked most promising in reducing carbonyl groups are okra, parsley, parsnips, and sunchokes whereas plantain, cantaloupe, avocado and apricots were the active fruits. Okra when heated was able to reduce both aldehyde and ketone carbonyl groups in addition to the nitro group. Yields ranged from low to moderate. Acetates, diketones, and nitro groups were reduced with several other vegetables. Representative substrates include benzaldehyde, acetophenone, cyclopentanone, 2-heptanone, 4-nitrophenyl acetate, benzyl benzoate, 1-iodo-2-nitrobenzene, 4-nitrobenzonitile, and 1</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-naphthoquinone. Two general procedures were followed. The reactions were done in groups consisting of five simultaneous reactions per biocatalyst. The amount (50 microliters, µL) of a different given substrate was added to a 250-mL Erlenmeyer flask. To each flask a standard was added (e.g. dodecane, 25 µL) followed by 20 grams of the biocatalyst, and finally 80 mL of deionized water (DI 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O). The five flasks were place on an orbital shaker for 7days after which time they were extracted and analyzed by GC. Each biocatalyst was washed and cut into small-standardized pieces. Alternatively, the fruits and vegetables were disinfected and the reactions carried out in a phosphate buffer solution at pH= 6.8. The results of all biocatalytic reductions and their stereoselctivity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2368451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Improving NOE methods in obtaining inter-proton distances for 3-methylpiperidine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Nkiruka Oragwam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nickyoragwam@live.com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Nkiruka Oragwam</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Jessica Bame</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Claire Dickson</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Craig Butts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Anne Glenn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Terence A. Nile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 of North Carolina, Greensboro, NC, United States. </w:t>
                  </w:r>
                  <w:r w:rsidRPr="001F5B5C">
                    <w:rPr>
                      <w:rFonts w:ascii="Times New Roman" w:eastAsia="Times New Roman" w:hAnsi="Times New Roman"/>
                      <w:sz w:val="20"/>
                      <w:szCs w:val="20"/>
                    </w:rPr>
                    <w:br/>
                    <w:t xml:space="preserve">2. Department of Chemistry, Guilford College, Greensboro, NC, United States. </w:t>
                  </w:r>
                  <w:r w:rsidRPr="001F5B5C">
                    <w:rPr>
                      <w:rFonts w:ascii="Times New Roman" w:eastAsia="Times New Roman" w:hAnsi="Times New Roman"/>
                      <w:sz w:val="20"/>
                      <w:szCs w:val="20"/>
                    </w:rPr>
                    <w:br/>
                    <w:t xml:space="preserve">3. School of Chemistry, University of Bristol, Bristol, United Kingdom. </w:t>
                  </w:r>
                  <w:r w:rsidRPr="001F5B5C">
                    <w:rPr>
                      <w:rFonts w:ascii="Times New Roman" w:eastAsia="Times New Roman" w:hAnsi="Times New Roman"/>
                      <w:sz w:val="20"/>
                      <w:szCs w:val="20"/>
                    </w:rPr>
                    <w:br/>
                    <w:t xml:space="preserve">4. Chemistry, California State Univerity, Bakersfield, CA,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NOE (the Nuclear Overhauser Effect) is a method that determines inter-proton distances by utilizing the magnetic effects of two proton nuclei. While current methods of converting PANIC intensities on a Noesy spectra to distances works well for rigid molecules, small molecules (such as 3-methylpiperidine) end up producing large errors. This is due to low intensities and anti-phasing peaks on the spectra as a result of the molecule tumbling too fast in solution. We describe our attempts at improving these and minimizing percentage errors by using temperature and viscosity manipulation of the solvent containing 3-methylpiperidine.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2368489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Progress Toward the Total Synthesis of Lauroside B</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Charles Haynes | Dwight Johnson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Charles487@gmail.com | dwijohn@ut.utm.edu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Smith Genessa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Charles Haynes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Dwight Johnson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Tennessee at Martin, Martin,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Lauroside B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has demonstrated potent biological activity against malignant skin cancer cells. Our research proposes synthetic access to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via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xml:space="preserve"> (itself also a natural product), which would arise from a phenolic oxidation of compound </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xml:space="preserve">. Efforts to access </w:t>
                  </w:r>
                  <w:r w:rsidRPr="001F5B5C">
                    <w:rPr>
                      <w:rFonts w:ascii="Times New Roman" w:eastAsia="Times New Roman" w:hAnsi="Times New Roman"/>
                      <w:b/>
                      <w:bCs/>
                      <w:sz w:val="20"/>
                      <w:szCs w:val="20"/>
                    </w:rPr>
                    <w:t>3</w:t>
                  </w:r>
                  <w:r w:rsidRPr="001F5B5C">
                    <w:rPr>
                      <w:rFonts w:ascii="Times New Roman" w:eastAsia="Times New Roman" w:hAnsi="Times New Roman"/>
                      <w:sz w:val="20"/>
                      <w:szCs w:val="20"/>
                    </w:rPr>
                    <w:t xml:space="preserve"> via the Suzuki coupling of an aryl bromide and vinyl boronate ester will be discussed.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New Dihydropyrimidinone Scaffolds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John Hershberger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jhershberger@astate.edu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John Hershberger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Santiago Gonzalez</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Arkansas State University, Jonesboro, AR,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venerable Biginelli reaction has been known for over 100 years and is known to give biologically active dihydropyrimidinones as products. Phenethylamine derivatives are also known to be biologically active. However, there are few known scaffolds that contain both moieties. We report a three-step sequence to generate new dihydropyrimidinone-phenethylamine combination products.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8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2368666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Using Microwaves for Organic Syntheses in Undergraduate Organic Labs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 Rivas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alex.rivas@cameron.edu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Alex Rivas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Elizabeth A. Nalley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Physics and Engineering, Cameron University, Lawton,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Allowing many chemical reactions to be completed within minutes, microwave heating has revolutionized preparative chemistry. As a result, this technology has been widely adopted in both academic and industrial laboratories. Integrating microwave-assisted chemistry into undergraduate laboratory courses enables students to perform a broader range of reactions in the allotted lab period. As a result, they can be introduced to chemistry that would otherwise have been inaccessible due to time constraints (for example, the need for an overnight reflux). A number of the chemical transformations use water as a solvent in lieu of classical organic solvents. This contributes to greener, more sustainable teaching strategies for faculty and students, while maintaining high reaction yields. The advantages inherent in microwave use make it ideal for the undergraduate laboratory. Although students are exposed to many different reactions in the classroom, many important organic reactions described in undergraduate textbooks are presently not included in the laboratory course owing to long reaction times, high temperatures, or sensitive reagents that present a potential danger to the students. In this poster, five syntheses using microwave heating will be described.</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2368703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Formation of asymmetric rhodamine derivatives for chiral sensing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Dayla Rich | Nate Kam | Nathalie Aleman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dcrich@loyno.edu | njkamm@loyno.edu | nyarguet@loyno.edu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Dayla Rich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Nate Kam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Nathalie Aleman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Michael Maher</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Justin Romaire</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Clifton Stephenson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Loyola Univeristy New Orleans, New Orleans, LA, United States. </w:t>
                  </w:r>
                  <w:r w:rsidRPr="001F5B5C">
                    <w:rPr>
                      <w:rFonts w:ascii="Times New Roman" w:eastAsia="Times New Roman" w:hAnsi="Times New Roman"/>
                      <w:sz w:val="20"/>
                      <w:szCs w:val="20"/>
                    </w:rPr>
                    <w:br/>
                    <w:t xml:space="preserve">2. Chemistry, University of Texas at Austin, Austin, TX, United States. </w:t>
                  </w:r>
                  <w:r w:rsidRPr="001F5B5C">
                    <w:rPr>
                      <w:rFonts w:ascii="Times New Roman" w:eastAsia="Times New Roman" w:hAnsi="Times New Roman"/>
                      <w:sz w:val="20"/>
                      <w:szCs w:val="20"/>
                    </w:rPr>
                    <w:br/>
                    <w:t xml:space="preserve">3. Loyola Univeristy New Orleans, Lafayette, LA,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Xanthene dyes such as rhodamine can function as an off/on sensor and can therefore form extremely sensitive molecular sensors. Asymmetric derivatives of rhodamine are chiral and in the open (on) form this asymmetry provides axial chirality that makes the entire dye a chiral environment, thus, potentially forming a highly sensitive chiral fluorescent sensor. Herein, we present the synthesis and resolution of asymmetric rhodamine derivatives. These dyes will be used to examine the potential of atropisomeric xanthenes dyes to function as chiral sensors. Rhodamine derivatives have been used in a wide range on sensing applications. The asymmetric modification, resolution methods, and preliminary testing presented here will demonstrate the utility of chiral rhodamine-based sensors.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2368723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Microwave Synthesis of Phenyl Salicylate and Phenyl Salicylate Derivatives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Sujana Rupakheti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sujana.rupakheti@cameron.edu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Sujana Rupakheti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Elizabeth A. Nalley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Physics and Engineering, Cameron University, Lawton,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Allowing many chemical reactions to be completed within minutes, microwave heating has revolutionized preparative chemistry. As a result, this technology has been widely adopted in both academic and industrial laboratories. Integrating microwave-assisted chemistry into undergraduate laboratory courses enables students to perform a broader range of reactions in the allotted lab period. As a result, they can be introduced to chemistry that would otherwise have been inaccessible due to time constraints (for example, the need for an overnight reflux). A number of the chemical transformations use water as a solvent in lieu of classical organic solvents. This contributes to greener, more sustainable teaching strategies for faculty and students, while maintaining high reaction yields. Phenyl Salicylate can be synthesized from Salicylic Acid and Phenol using a conventional microwave oven. This synthesis and other synthesis of other derivatives phenyl salicylate will be discussed and the use of these products as starting materials for other reaction including Xanthone will also be described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2368731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Microwave Synthesis of Triphenylporphyrins and Triphenylporphyrin Derivatives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Pasang Hyolmo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pasang.hyolmo@cameron.edu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Pasang Hyolmo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Elizabeth A. Nalley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Physics and Engineering, Cameron University, Lawton,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Allowing many chemical reactions to be completed within minutes, microwave heating has revolutionized preparative chemistry. As a result, this technology has been widely adopted in both academic and industrial laboratories. Integrating microwave-assisted chemistry into undergraduate laboratory courses enables students to perform a broader range of reactions in the allotted lab period. As a result, they can be introduced to chemistry that would otherwise have been inaccessible due to time constraints (for example, the need for an overnight reflux). A number of the chemical transformations use water as a solvent in lieu of classical organic solvents. This contributes to greener, more sustainable teaching strategies for faculty and students, while maintaining high reaction yields. Triphenylporphyrins can be synthesized from pyrrole and benzaldehyde using a conventional microwave oven. This synthesis and other synthesis of other derivatives of triphenylporphyrins will be described.</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2368738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Incorporation of Dyes in Polymers as a means of Producing Faux Stained Glass Windows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Philip Worthen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philip.worthen@cameron.edu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Philip Worthen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Elizabeth A. Nalley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Physics and Engineering, Cameron University, Lawton,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an effort to make fun nanoparticle projects for students in a summer science academy in nanotechnology, we followed the procedure from the University of Wisconsin &lt;http://mrsec.wisc.edu/Edetc/nanolab/silver&gt; for making gold and silver nanoparticles. These were immobilized in PVA to produce a dye solution which could be applied to glass or Plexiglas that looked like stained glass windows. Incorporation of nanoparticles in glass to make stained glass is a procedure that has been utilized since the Middle Ages. The dye solutions produced by following this procedure were unpredictable, dull and unsuitable for use as stained glass. We then tried using organic dyes in place of the metallic dyes, and found that they gave the intense color that we had been seeking. Although the art form product resulting from this research were not colored in the same manner as traditional stained glass windows, the colors produced by nanoparticles were very vivid and allowed the light to pass through because of their very small size. Although the dyes prepared using PVA were beautiful in color and often were easy to apply. They were moisture and heat sensitive. For some time we have been investigating different methods to correct this. The addition of Polyvinyl Pyrrolidine has produced a stable dye which does not foam and adheres well to glass and Plexiglas.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2368761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Studies on the synthesis and biological activity of Hibiscone C</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Haochen Tan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htan2@furman.edu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Haochen Tan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Brian C. Goess</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Greenville, SC, United States. </w:t>
                  </w:r>
                  <w:r w:rsidRPr="001F5B5C">
                    <w:rPr>
                      <w:rFonts w:ascii="Times New Roman" w:eastAsia="Times New Roman" w:hAnsi="Times New Roman"/>
                      <w:sz w:val="20"/>
                      <w:szCs w:val="20"/>
                    </w:rPr>
                    <w:br/>
                    <w:t xml:space="preserve">2. Dept of Chemistry,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I worked in the Goess Lab during Summer 2015. As a new member in the group, my main task is </w:t>
                  </w:r>
                  <w:proofErr w:type="gramStart"/>
                  <w:r w:rsidRPr="001F5B5C">
                    <w:rPr>
                      <w:rFonts w:ascii="Times New Roman" w:eastAsia="Times New Roman" w:hAnsi="Times New Roman"/>
                      <w:sz w:val="20"/>
                      <w:szCs w:val="20"/>
                    </w:rPr>
                    <w:t>go</w:t>
                  </w:r>
                  <w:proofErr w:type="gramEnd"/>
                  <w:r w:rsidRPr="001F5B5C">
                    <w:rPr>
                      <w:rFonts w:ascii="Times New Roman" w:eastAsia="Times New Roman" w:hAnsi="Times New Roman"/>
                      <w:sz w:val="20"/>
                      <w:szCs w:val="20"/>
                    </w:rPr>
                    <w:t xml:space="preserve"> through the 11 step organic synthesis and synthesize Hibiscone C molecules. I eventually finished the 10th step and get an incredibly low yield that cannot effectivly preceed to the final step but I did gain a lot of experience through the process. I also studied some elementary computational chemistry techniques and run some calculations on the energies of several </w:t>
                  </w:r>
                  <w:proofErr w:type="gramStart"/>
                  <w:r w:rsidRPr="001F5B5C">
                    <w:rPr>
                      <w:rFonts w:ascii="Times New Roman" w:eastAsia="Times New Roman" w:hAnsi="Times New Roman"/>
                      <w:sz w:val="20"/>
                      <w:szCs w:val="20"/>
                    </w:rPr>
                    <w:t>stereoisomer</w:t>
                  </w:r>
                  <w:proofErr w:type="gramEnd"/>
                  <w:r w:rsidRPr="001F5B5C">
                    <w:rPr>
                      <w:rFonts w:ascii="Times New Roman" w:eastAsia="Times New Roman" w:hAnsi="Times New Roman"/>
                      <w:sz w:val="20"/>
                      <w:szCs w:val="20"/>
                    </w:rPr>
                    <w:t xml:space="preserve"> of Hibiscone C and its oxidization form; this is trying to provide a background proof that the oxidization the lab is trying to accomplish is theoretically accomplishable.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2368877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Diels-Alder Reactions of 2-Cycloalkenylthiophenes and 2-Cycloalkenylbenzo[</w:t>
                  </w:r>
                  <w:r w:rsidRPr="001F5B5C">
                    <w:rPr>
                      <w:rFonts w:ascii="Times New Roman" w:eastAsia="Times New Roman" w:hAnsi="Times New Roman"/>
                      <w:b/>
                      <w:bCs/>
                      <w:i/>
                      <w:iCs/>
                      <w:sz w:val="20"/>
                      <w:szCs w:val="20"/>
                    </w:rPr>
                    <w:t>b</w:t>
                  </w:r>
                  <w:r w:rsidRPr="001F5B5C">
                    <w:rPr>
                      <w:rFonts w:ascii="Times New Roman" w:eastAsia="Times New Roman" w:hAnsi="Times New Roman"/>
                      <w:b/>
                      <w:bCs/>
                      <w:sz w:val="20"/>
                      <w:szCs w:val="20"/>
                    </w:rPr>
                    <w:t>]thiophenes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Anjola Uprety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axuprety@wesleyancollege.edu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Wayland E. Noland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Vijay Kumar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Venkata S. Narina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Anjola Uprety</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Derek Aschbacher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Grant Flick</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Hyejin Kim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Jun Xie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 of Minnesota, Minneapolis, MN, United States. </w:t>
                  </w:r>
                  <w:r w:rsidRPr="001F5B5C">
                    <w:rPr>
                      <w:rFonts w:ascii="Times New Roman" w:eastAsia="Times New Roman" w:hAnsi="Times New Roman"/>
                      <w:sz w:val="20"/>
                      <w:szCs w:val="20"/>
                    </w:rPr>
                    <w:br/>
                    <w:t xml:space="preserve">2. Chemistry, Wesleyan College, Macon,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heteroaromatic dienes 2-vinylthiophene </w:t>
                  </w:r>
                  <w:r w:rsidRPr="001F5B5C">
                    <w:rPr>
                      <w:rFonts w:ascii="Times New Roman" w:eastAsia="Times New Roman" w:hAnsi="Times New Roman"/>
                      <w:b/>
                      <w:bCs/>
                      <w:sz w:val="20"/>
                      <w:szCs w:val="20"/>
                    </w:rPr>
                    <w:t>1</w:t>
                  </w:r>
                  <w:r w:rsidRPr="001F5B5C">
                    <w:rPr>
                      <w:rFonts w:ascii="Times New Roman" w:eastAsia="Times New Roman" w:hAnsi="Times New Roman"/>
                      <w:sz w:val="20"/>
                      <w:szCs w:val="20"/>
                    </w:rPr>
                    <w:t xml:space="preserve"> and 2-vinylbenzo[</w:t>
                  </w:r>
                  <w:r w:rsidRPr="001F5B5C">
                    <w:rPr>
                      <w:rFonts w:ascii="Times New Roman" w:eastAsia="Times New Roman" w:hAnsi="Times New Roman"/>
                      <w:i/>
                      <w:iCs/>
                      <w:sz w:val="20"/>
                      <w:szCs w:val="20"/>
                    </w:rPr>
                    <w:t>b</w:t>
                  </w:r>
                  <w:r w:rsidRPr="001F5B5C">
                    <w:rPr>
                      <w:rFonts w:ascii="Times New Roman" w:eastAsia="Times New Roman" w:hAnsi="Times New Roman"/>
                      <w:sz w:val="20"/>
                      <w:szCs w:val="20"/>
                    </w:rPr>
                    <w:t xml:space="preserve">]thiophene </w:t>
                  </w:r>
                  <w:r w:rsidRPr="001F5B5C">
                    <w:rPr>
                      <w:rFonts w:ascii="Times New Roman" w:eastAsia="Times New Roman" w:hAnsi="Times New Roman"/>
                      <w:b/>
                      <w:bCs/>
                      <w:sz w:val="20"/>
                      <w:szCs w:val="20"/>
                    </w:rPr>
                    <w:t>2</w:t>
                  </w:r>
                  <w:r w:rsidRPr="001F5B5C">
                    <w:rPr>
                      <w:rFonts w:ascii="Times New Roman" w:eastAsia="Times New Roman" w:hAnsi="Times New Roman"/>
                      <w:sz w:val="20"/>
                      <w:szCs w:val="20"/>
                    </w:rPr>
                    <w:t xml:space="preserve">, with the vinyl groups fused to five-, six-, and seven-membered cycloalkane rings, underwent normal-electron demand [4+2] cycloaddition reactions with </w:t>
                  </w:r>
                  <w:r w:rsidRPr="001F5B5C">
                    <w:rPr>
                      <w:rFonts w:ascii="Times New Roman" w:eastAsia="Times New Roman" w:hAnsi="Times New Roman"/>
                      <w:i/>
                      <w:iCs/>
                      <w:sz w:val="20"/>
                      <w:szCs w:val="20"/>
                    </w:rPr>
                    <w:t>p</w:t>
                  </w:r>
                  <w:r w:rsidRPr="001F5B5C">
                    <w:rPr>
                      <w:rFonts w:ascii="Times New Roman" w:eastAsia="Times New Roman" w:hAnsi="Times New Roman"/>
                      <w:sz w:val="20"/>
                      <w:szCs w:val="20"/>
                    </w:rPr>
                    <w:t xml:space="preserve">-benzoquinone, maleic anhydride, and variously substituted </w:t>
                  </w:r>
                  <w:r w:rsidRPr="001F5B5C">
                    <w:rPr>
                      <w:rFonts w:ascii="Times New Roman" w:eastAsia="Times New Roman" w:hAnsi="Times New Roman"/>
                      <w:i/>
                      <w:iCs/>
                      <w:sz w:val="20"/>
                      <w:szCs w:val="20"/>
                    </w:rPr>
                    <w:t>N</w:t>
                  </w:r>
                  <w:r w:rsidRPr="001F5B5C">
                    <w:rPr>
                      <w:rFonts w:ascii="Times New Roman" w:eastAsia="Times New Roman" w:hAnsi="Times New Roman"/>
                      <w:sz w:val="20"/>
                      <w:szCs w:val="20"/>
                    </w:rPr>
                    <w:t xml:space="preserve">-phenyl maleimides, giving the expected isomerized </w:t>
                  </w:r>
                  <w:r w:rsidRPr="001F5B5C">
                    <w:rPr>
                      <w:rFonts w:ascii="Times New Roman" w:eastAsia="Times New Roman" w:hAnsi="Times New Roman"/>
                      <w:i/>
                      <w:iCs/>
                      <w:sz w:val="20"/>
                      <w:szCs w:val="20"/>
                    </w:rPr>
                    <w:t>endo</w:t>
                  </w:r>
                  <w:r w:rsidRPr="001F5B5C">
                    <w:rPr>
                      <w:rFonts w:ascii="Times New Roman" w:eastAsia="Times New Roman" w:hAnsi="Times New Roman"/>
                      <w:sz w:val="20"/>
                      <w:szCs w:val="20"/>
                    </w:rPr>
                    <w:t xml:space="preserve">-addition Diels-Alder adducts </w:t>
                  </w:r>
                  <w:r w:rsidRPr="001F5B5C">
                    <w:rPr>
                      <w:rFonts w:ascii="Times New Roman" w:eastAsia="Times New Roman" w:hAnsi="Times New Roman"/>
                      <w:b/>
                      <w:bCs/>
                      <w:sz w:val="20"/>
                      <w:szCs w:val="20"/>
                    </w:rPr>
                    <w:t>6a-d</w:t>
                  </w:r>
                  <w:r w:rsidRPr="001F5B5C">
                    <w:rPr>
                      <w:rFonts w:ascii="Times New Roman" w:eastAsia="Times New Roman" w:hAnsi="Times New Roman"/>
                      <w:sz w:val="20"/>
                      <w:szCs w:val="20"/>
                    </w:rPr>
                    <w:t xml:space="preserve"> (36-98%). Also isolated as lesser components were the fully aromatized Diels-Alder adducts </w:t>
                  </w:r>
                  <w:r w:rsidRPr="001F5B5C">
                    <w:rPr>
                      <w:rFonts w:ascii="Times New Roman" w:eastAsia="Times New Roman" w:hAnsi="Times New Roman"/>
                      <w:b/>
                      <w:bCs/>
                      <w:sz w:val="20"/>
                      <w:szCs w:val="20"/>
                    </w:rPr>
                    <w:t xml:space="preserve">4a-d </w:t>
                  </w:r>
                  <w:r w:rsidRPr="001F5B5C">
                    <w:rPr>
                      <w:rFonts w:ascii="Times New Roman" w:eastAsia="Times New Roman" w:hAnsi="Times New Roman"/>
                      <w:sz w:val="20"/>
                      <w:szCs w:val="20"/>
                    </w:rPr>
                    <w:t xml:space="preserve">(15-25%), as well the product of a highly diastereospecific (≥ 98% de) Michael-addition between an unrearranged adduct and another molecule of dienophile </w:t>
                  </w:r>
                  <w:r w:rsidRPr="001F5B5C">
                    <w:rPr>
                      <w:rFonts w:ascii="Times New Roman" w:eastAsia="Times New Roman" w:hAnsi="Times New Roman"/>
                      <w:b/>
                      <w:bCs/>
                      <w:sz w:val="20"/>
                      <w:szCs w:val="20"/>
                    </w:rPr>
                    <w:t>5a-d</w:t>
                  </w:r>
                  <w:r w:rsidRPr="001F5B5C">
                    <w:rPr>
                      <w:rFonts w:ascii="Times New Roman" w:eastAsia="Times New Roman" w:hAnsi="Times New Roman"/>
                      <w:sz w:val="20"/>
                      <w:szCs w:val="20"/>
                    </w:rPr>
                    <w:t xml:space="preserve"> (25-55%). This route to annulated thiophenes and benzo[</w:t>
                  </w:r>
                  <w:r w:rsidRPr="001F5B5C">
                    <w:rPr>
                      <w:rFonts w:ascii="Times New Roman" w:eastAsia="Times New Roman" w:hAnsi="Times New Roman"/>
                      <w:i/>
                      <w:iCs/>
                      <w:sz w:val="20"/>
                      <w:szCs w:val="20"/>
                    </w:rPr>
                    <w:t>b</w:t>
                  </w:r>
                  <w:r w:rsidRPr="001F5B5C">
                    <w:rPr>
                      <w:rFonts w:ascii="Times New Roman" w:eastAsia="Times New Roman" w:hAnsi="Times New Roman"/>
                      <w:sz w:val="20"/>
                      <w:szCs w:val="20"/>
                    </w:rPr>
                    <w:t>]thiophenes is versatile, and the starting materials are easily prepared. The newly synthesized compounds will be offered to the National Institute of Health (NIH) to explore their anti-tumor, anti-bacterial, or other biological activities.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2368933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Efforts towards the direct γ-functionalization of cyclopentenones.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Brian Jimenez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bljimenez2253@eagle.fgcu.edu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Brian Jimenez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Alexander Bracken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Gregory R. Boyce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Florida Gulf Coast University, Estero,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direct γ-functionalized of cyclopentenones would be a useful method due to the prevalence these structures in medicinal targets including several prostaglandins, latanoprost, and phorbol. Despite the importance of this structural motif, no direct γ-functionalization protocol exists for their synthesis. Current syntheses typically require step-intensive functional group interconversion to obtain the moiety. Herein, our efforts towards the vinylogous aldol and Michael reactions with 2-cyclopentenone and 3-cyclopentenone are described. A rationale for the product ratios based on catalyst structure is also disclosed.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Organic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2368946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Overcoming Aromaticity: Progress towards the cyclization of cyclopropenones.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Samantha Coury | Sherzod Tokamov</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sacoury6722@eagle.fgcu.edu | satokamov9215@eagle.fgcu.edu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Samantha Coury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Sherzod Tokamov</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Gregory R. Boyce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Florida Gulf Coast University, Estero, FL,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Despite possessing a high degree of ring strain and a highly functionalized core structure, the utility of cyclopropenones in cycloaddition chemistry has remained limited. This is likely due to the stabilizing aromatic character of cyclopropenones operating as a counterbalance to the destabilizing effect of ring strain that leads to ring opening. The presented research describes efforts to enable the cycloaddition of cyclopropenones and their non-ketal based derivatives with π-system coupling partners both under thermal and Lewis acid catalyzed conditions.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2301436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Deviations of the glass transition temperature (T</w:t>
                  </w:r>
                  <w:r w:rsidRPr="001F5B5C">
                    <w:rPr>
                      <w:rFonts w:ascii="Times New Roman" w:eastAsia="Times New Roman" w:hAnsi="Times New Roman"/>
                      <w:sz w:val="20"/>
                      <w:szCs w:val="20"/>
                      <w:vertAlign w:val="subscript"/>
                    </w:rPr>
                    <w:t>g</w:t>
                  </w:r>
                  <w:r w:rsidRPr="001F5B5C">
                    <w:rPr>
                      <w:rFonts w:ascii="Times New Roman" w:eastAsia="Times New Roman" w:hAnsi="Times New Roman"/>
                      <w:sz w:val="20"/>
                      <w:szCs w:val="20"/>
                    </w:rPr>
                    <w:t>) of polystyrene nanospheres under hard and soft confinement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Nicole Sikes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sikes_nicole@columbusstate.edu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Nicole M. Sikes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Rubicelys Torres Guzman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 W. Holley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Columbus State University, Columbus,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effect of confinement on the glass transition temperature (T</w:t>
                  </w:r>
                  <w:r w:rsidRPr="001F5B5C">
                    <w:rPr>
                      <w:rFonts w:ascii="Times New Roman" w:eastAsia="Times New Roman" w:hAnsi="Times New Roman"/>
                      <w:sz w:val="20"/>
                      <w:szCs w:val="20"/>
                      <w:vertAlign w:val="subscript"/>
                    </w:rPr>
                    <w:t>g</w:t>
                  </w:r>
                  <w:r w:rsidRPr="001F5B5C">
                    <w:rPr>
                      <w:rFonts w:ascii="Times New Roman" w:eastAsia="Times New Roman" w:hAnsi="Times New Roman"/>
                      <w:sz w:val="20"/>
                      <w:szCs w:val="20"/>
                    </w:rPr>
                    <w:t>) has been studied in various systems such as thin films, nanocomposites, and nanoparticles. While deviations from bulk T</w:t>
                  </w:r>
                  <w:r w:rsidRPr="001F5B5C">
                    <w:rPr>
                      <w:rFonts w:ascii="Times New Roman" w:eastAsia="Times New Roman" w:hAnsi="Times New Roman"/>
                      <w:sz w:val="20"/>
                      <w:szCs w:val="20"/>
                      <w:vertAlign w:val="subscript"/>
                    </w:rPr>
                    <w:t xml:space="preserve">g </w:t>
                  </w:r>
                  <w:r w:rsidRPr="001F5B5C">
                    <w:rPr>
                      <w:rFonts w:ascii="Times New Roman" w:eastAsia="Times New Roman" w:hAnsi="Times New Roman"/>
                      <w:sz w:val="20"/>
                      <w:szCs w:val="20"/>
                    </w:rPr>
                    <w:t>has been observed in all of these systems, the exact nature of each deviation is surprisingly inconsistent. For the case of nanospheres, researchers have reported increases in T</w:t>
                  </w:r>
                  <w:r w:rsidRPr="001F5B5C">
                    <w:rPr>
                      <w:rFonts w:ascii="Times New Roman" w:eastAsia="Times New Roman" w:hAnsi="Times New Roman"/>
                      <w:sz w:val="20"/>
                      <w:szCs w:val="20"/>
                      <w:vertAlign w:val="subscript"/>
                    </w:rPr>
                    <w:t>g</w:t>
                  </w:r>
                  <w:r w:rsidRPr="001F5B5C">
                    <w:rPr>
                      <w:rFonts w:ascii="Times New Roman" w:eastAsia="Times New Roman" w:hAnsi="Times New Roman"/>
                      <w:sz w:val="20"/>
                      <w:szCs w:val="20"/>
                    </w:rPr>
                    <w:t>, decreases in T</w:t>
                  </w:r>
                  <w:r w:rsidRPr="001F5B5C">
                    <w:rPr>
                      <w:rFonts w:ascii="Times New Roman" w:eastAsia="Times New Roman" w:hAnsi="Times New Roman"/>
                      <w:sz w:val="20"/>
                      <w:szCs w:val="20"/>
                      <w:vertAlign w:val="subscript"/>
                    </w:rPr>
                    <w:t>g</w:t>
                  </w:r>
                  <w:r w:rsidRPr="001F5B5C">
                    <w:rPr>
                      <w:rFonts w:ascii="Times New Roman" w:eastAsia="Times New Roman" w:hAnsi="Times New Roman"/>
                      <w:sz w:val="20"/>
                      <w:szCs w:val="20"/>
                    </w:rPr>
                    <w:t>, no deviations in T</w:t>
                  </w:r>
                  <w:r w:rsidRPr="001F5B5C">
                    <w:rPr>
                      <w:rFonts w:ascii="Times New Roman" w:eastAsia="Times New Roman" w:hAnsi="Times New Roman"/>
                      <w:sz w:val="20"/>
                      <w:szCs w:val="20"/>
                      <w:vertAlign w:val="subscript"/>
                    </w:rPr>
                    <w:t>g</w:t>
                  </w:r>
                  <w:r w:rsidRPr="001F5B5C">
                    <w:rPr>
                      <w:rFonts w:ascii="Times New Roman" w:eastAsia="Times New Roman" w:hAnsi="Times New Roman"/>
                      <w:sz w:val="20"/>
                      <w:szCs w:val="20"/>
                    </w:rPr>
                    <w:t>, and size dependency of T</w:t>
                  </w:r>
                  <w:r w:rsidRPr="001F5B5C">
                    <w:rPr>
                      <w:rFonts w:ascii="Times New Roman" w:eastAsia="Times New Roman" w:hAnsi="Times New Roman"/>
                      <w:sz w:val="20"/>
                      <w:szCs w:val="20"/>
                      <w:vertAlign w:val="subscript"/>
                    </w:rPr>
                    <w:t>g</w:t>
                  </w:r>
                  <w:r w:rsidRPr="001F5B5C">
                    <w:rPr>
                      <w:rFonts w:ascii="Times New Roman" w:eastAsia="Times New Roman" w:hAnsi="Times New Roman"/>
                      <w:sz w:val="20"/>
                      <w:szCs w:val="20"/>
                    </w:rPr>
                    <w:t>.</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Here temperature-varied fluorescence spectroscopy was used to study the T</w:t>
                  </w:r>
                  <w:r w:rsidRPr="001F5B5C">
                    <w:rPr>
                      <w:rFonts w:ascii="Times New Roman" w:eastAsia="Times New Roman" w:hAnsi="Times New Roman"/>
                      <w:sz w:val="20"/>
                      <w:szCs w:val="20"/>
                      <w:vertAlign w:val="subscript"/>
                    </w:rPr>
                    <w:t xml:space="preserve">g </w:t>
                  </w:r>
                  <w:r w:rsidRPr="001F5B5C">
                    <w:rPr>
                      <w:rFonts w:ascii="Times New Roman" w:eastAsia="Times New Roman" w:hAnsi="Times New Roman"/>
                      <w:sz w:val="20"/>
                      <w:szCs w:val="20"/>
                    </w:rPr>
                    <w:t>of polystyrene nanospheres under various surfactant concentrations (and thus varying types of confinement). T</w:t>
                  </w:r>
                  <w:r w:rsidRPr="001F5B5C">
                    <w:rPr>
                      <w:rFonts w:ascii="Times New Roman" w:eastAsia="Times New Roman" w:hAnsi="Times New Roman"/>
                      <w:sz w:val="20"/>
                      <w:szCs w:val="20"/>
                      <w:vertAlign w:val="subscript"/>
                    </w:rPr>
                    <w:t>g</w:t>
                  </w:r>
                  <w:r w:rsidRPr="001F5B5C">
                    <w:rPr>
                      <w:rFonts w:ascii="Times New Roman" w:eastAsia="Times New Roman" w:hAnsi="Times New Roman"/>
                      <w:sz w:val="20"/>
                      <w:szCs w:val="20"/>
                    </w:rPr>
                    <w:t xml:space="preserve"> was found to be size independent, but have a novel dependency on the type of confinement.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79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2305624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Spectroscopic and theoretical investigation of solvent and temperature effects on optical activity of (</w:t>
                  </w:r>
                  <w:r w:rsidRPr="001F5B5C">
                    <w:rPr>
                      <w:rFonts w:ascii="Times New Roman" w:eastAsia="Times New Roman" w:hAnsi="Times New Roman"/>
                      <w:i/>
                      <w:iCs/>
                      <w:sz w:val="20"/>
                      <w:szCs w:val="20"/>
                    </w:rPr>
                    <w:t>R</w:t>
                  </w:r>
                  <w:r w:rsidRPr="001F5B5C">
                    <w:rPr>
                      <w:rFonts w:ascii="Times New Roman" w:eastAsia="Times New Roman" w:hAnsi="Times New Roman"/>
                      <w:sz w:val="20"/>
                      <w:szCs w:val="20"/>
                    </w:rPr>
                    <w:t>)-3-methylcyclohexanone dominant conformers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Asem Alenaizan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s201129570@kfupm.edu.sa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Asem Alenaizan</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Watheq Al-Basheer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Musa M. Musa</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Physics, King Fahd University of Petroleum &amp; Minerals, Dhahran, Eastern Province, Saudi Arabia. </w:t>
                  </w:r>
                  <w:r w:rsidRPr="001F5B5C">
                    <w:rPr>
                      <w:rFonts w:ascii="Times New Roman" w:eastAsia="Times New Roman" w:hAnsi="Times New Roman"/>
                      <w:sz w:val="20"/>
                      <w:szCs w:val="20"/>
                    </w:rPr>
                    <w:br/>
                    <w:t xml:space="preserve">2. Chemistry, King Fahd University of Petroleum &amp; Minerals, Dhahran, Saudi Arabia.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R</w:t>
                  </w:r>
                  <w:r w:rsidRPr="001F5B5C">
                    <w:rPr>
                      <w:rFonts w:ascii="Times New Roman" w:eastAsia="Times New Roman" w:hAnsi="Times New Roman"/>
                      <w:sz w:val="20"/>
                      <w:szCs w:val="20"/>
                    </w:rPr>
                    <w:t>)-3-methylcyclohexanone is an important chiral ketone that is found in living cells and many biological systems and can exist in five possible conformers. In this talk, experimental and computational investigation of solvent and temperature effects on the circular dichroism (CD) and optical rotation (OR) of (</w:t>
                  </w:r>
                  <w:r w:rsidRPr="001F5B5C">
                    <w:rPr>
                      <w:rFonts w:ascii="Times New Roman" w:eastAsia="Times New Roman" w:hAnsi="Times New Roman"/>
                      <w:i/>
                      <w:iCs/>
                      <w:sz w:val="20"/>
                      <w:szCs w:val="20"/>
                    </w:rPr>
                    <w:t>R</w:t>
                  </w:r>
                  <w:r w:rsidRPr="001F5B5C">
                    <w:rPr>
                      <w:rFonts w:ascii="Times New Roman" w:eastAsia="Times New Roman" w:hAnsi="Times New Roman"/>
                      <w:sz w:val="20"/>
                      <w:szCs w:val="20"/>
                    </w:rPr>
                    <w:t>)-3-methylcyclohexanone (</w:t>
                  </w:r>
                  <w:r w:rsidRPr="001F5B5C">
                    <w:rPr>
                      <w:rFonts w:ascii="Times New Roman" w:eastAsia="Times New Roman" w:hAnsi="Times New Roman"/>
                      <w:i/>
                      <w:iCs/>
                      <w:sz w:val="20"/>
                      <w:szCs w:val="20"/>
                    </w:rPr>
                    <w:t>R</w:t>
                  </w:r>
                  <w:r w:rsidRPr="001F5B5C">
                    <w:rPr>
                      <w:rFonts w:ascii="Times New Roman" w:eastAsia="Times New Roman" w:hAnsi="Times New Roman"/>
                      <w:sz w:val="20"/>
                      <w:szCs w:val="20"/>
                    </w:rPr>
                    <w:t xml:space="preserve">3MCH) conformers will be discussed. OR measurements of </w:t>
                  </w:r>
                  <w:r w:rsidRPr="001F5B5C">
                    <w:rPr>
                      <w:rFonts w:ascii="Times New Roman" w:eastAsia="Times New Roman" w:hAnsi="Times New Roman"/>
                      <w:i/>
                      <w:iCs/>
                      <w:sz w:val="20"/>
                      <w:szCs w:val="20"/>
                    </w:rPr>
                    <w:t>R</w:t>
                  </w:r>
                  <w:r w:rsidRPr="001F5B5C">
                    <w:rPr>
                      <w:rFonts w:ascii="Times New Roman" w:eastAsia="Times New Roman" w:hAnsi="Times New Roman"/>
                      <w:sz w:val="20"/>
                      <w:szCs w:val="20"/>
                    </w:rPr>
                    <w:t xml:space="preserve">3MCH gaseous sample and in ten common solvents of wide polarity range were recorded. Also, temperature dependent CD and OR spectra over 100 </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C range will also be shown. Density functional theoretical calculations were performed using Gaussian09 at B3LYP/aug-cc-pVDZ level of theory. </w:t>
                  </w:r>
                  <w:r w:rsidRPr="001F5B5C">
                    <w:rPr>
                      <w:rFonts w:ascii="Times New Roman" w:eastAsia="Times New Roman" w:hAnsi="Times New Roman"/>
                      <w:i/>
                      <w:iCs/>
                      <w:sz w:val="20"/>
                      <w:szCs w:val="20"/>
                    </w:rPr>
                    <w:t>R</w:t>
                  </w:r>
                  <w:r w:rsidRPr="001F5B5C">
                    <w:rPr>
                      <w:rFonts w:ascii="Times New Roman" w:eastAsia="Times New Roman" w:hAnsi="Times New Roman"/>
                      <w:sz w:val="20"/>
                      <w:szCs w:val="20"/>
                    </w:rPr>
                    <w:t xml:space="preserve">3MCH will be shown to exist in five possible conformers at room temperature, with the chair equatorial and chair axial conformers being predominant. OR spectra for the optimized geometries of </w:t>
                  </w:r>
                  <w:r w:rsidRPr="001F5B5C">
                    <w:rPr>
                      <w:rFonts w:ascii="Times New Roman" w:eastAsia="Times New Roman" w:hAnsi="Times New Roman"/>
                      <w:i/>
                      <w:iCs/>
                      <w:sz w:val="20"/>
                      <w:szCs w:val="20"/>
                    </w:rPr>
                    <w:t>R</w:t>
                  </w:r>
                  <w:r w:rsidRPr="001F5B5C">
                    <w:rPr>
                      <w:rFonts w:ascii="Times New Roman" w:eastAsia="Times New Roman" w:hAnsi="Times New Roman"/>
                      <w:sz w:val="20"/>
                      <w:szCs w:val="20"/>
                    </w:rPr>
                    <w:t>3MCH dominant conformers were computed over the ultraviolet and visible region in the gas phase as well as in ten solvents of varying polarity range, and under the umbrella of the polarizable continuum model (PCM). Upon comparison between theoretical and experimental results, the enthalpy difference between the equatorial and axial conformers in solvation will be estimated and compared to theoretical value.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2345545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of metal-impregnated xero- and aero-gel catalysts for carbon dioxide reduction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Christopher Jackson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ctjackson@me.com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Christopher Jackson</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Saint Edward's University, Austin, TX, United States. </w:t>
                  </w:r>
                  <w:r w:rsidRPr="001F5B5C">
                    <w:rPr>
                      <w:rFonts w:ascii="Times New Roman" w:eastAsia="Times New Roman" w:hAnsi="Times New Roman"/>
                      <w:sz w:val="20"/>
                      <w:szCs w:val="20"/>
                    </w:rPr>
                    <w:br/>
                    <w:t xml:space="preserve">2. Environmental Control and Life Support Systems Development Branch, NASA Marshall Space Flight Center, Huntsville,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For long-term space travel and inhabitation, carbon dioxide reduction technology is necessary to reclaim oxygen from metabolic carbon dioxide and is vital to reduce the delivery mass of metabolic oxygen. Traditional processes for carbon dioxide reduction result in the deposition of solid carbon onto a steel wool catalyst and resulting inhibition of the catalyst. Because of this, a large mass and volume of additional catalyst would be required to support a Martian surface-like, crewed mission. Therefore, aerogels are being investigated as catalytic supports due to their high surface area and porosity, which allows them to achieve the same performance with significantly less mass and volume. Gels composed of silica, alumina, and carbon were impregnated with various metal-containing compounds, tested for bulk kinetic activity in the carbon-depositing step of the Bosch CO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reduction process, and analyzed using scanning electron microscopy before and after catalytic testing. The results of this study suggest that aerogels are a viable candidate to decrease cost and waste material generated by catalyzed carbon dioxide reduction, increasing the possibility of long-term space travel.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2349589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Longitudinal alignment and optical characterization of gold nanostars in electrospun polymer fibers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Vamsi Varanasi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vamsi.varanasi@gmail.com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Vamsi Varanasi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Brian Chapman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Gabriel Firestone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Laura Clarke</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Jason Bochinski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Joseph B. Tracy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Materials Science and Engineering, North Carolina State University, Apex, NC, United States. </w:t>
                  </w:r>
                  <w:r w:rsidRPr="001F5B5C">
                    <w:rPr>
                      <w:rFonts w:ascii="Times New Roman" w:eastAsia="Times New Roman" w:hAnsi="Times New Roman"/>
                      <w:sz w:val="20"/>
                      <w:szCs w:val="20"/>
                    </w:rPr>
                    <w:br/>
                    <w:t xml:space="preserve">2. Department of Physics, North Carolina State University, Raleigh,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objective of this study is to align branched nanoparticles in polymer fibers on the macroscale by electrospinning and to learn how alignment affects their optical properties. Branched gold nanoparticles, or “nanostars” (GNSs) were synthesized and suspended in a </w:t>
                  </w:r>
                  <w:proofErr w:type="gramStart"/>
                  <w:r w:rsidRPr="001F5B5C">
                    <w:rPr>
                      <w:rFonts w:ascii="Times New Roman" w:eastAsia="Times New Roman" w:hAnsi="Times New Roman"/>
                      <w:sz w:val="20"/>
                      <w:szCs w:val="20"/>
                    </w:rPr>
                    <w:t>poly(</w:t>
                  </w:r>
                  <w:proofErr w:type="gramEnd"/>
                  <w:r w:rsidRPr="001F5B5C">
                    <w:rPr>
                      <w:rFonts w:ascii="Times New Roman" w:eastAsia="Times New Roman" w:hAnsi="Times New Roman"/>
                      <w:sz w:val="20"/>
                      <w:szCs w:val="20"/>
                    </w:rPr>
                    <w:t>ethylene oxide) (PEO) solution, which was then electrospun to produce a GNS-embedded polymer fiber nanocomposite. The PEO fibers and embedded GNSs were imaged by electron microscopy to assess the orientation of the GNSs and to measure the fiber diameters. The GNSs aligned along their longest axis parallel to the axis of the fiber due to shearing during electrospinning. The fibers were then aligned on the macroscale by deposition on a rotating mandrel, orienting all of the fibers in the same direction and thus aligning the GNSs on the macroscale. Aligned fiber mats exhibit polarization-dependent optical absorption, where the absorbance is redshifted and blueshifted for light polarized parallel and perpendicular to the fiber axis, respectively. This result is consistent with the observed alignment of the long axes of GNSs parallel to the fibers.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2350035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Thermal, Mechanical, and Optical Characterization of Luminescence-Doped PDMS Thin Film Sensors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Katherine Mitchell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kmtchl12@memphis.edu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Katherine Mitchell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Steve Allison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firouzeh sabri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Physics and Materials Science, University of Memphis, Morristown, TN, United States. </w:t>
                  </w:r>
                  <w:r w:rsidRPr="001F5B5C">
                    <w:rPr>
                      <w:rFonts w:ascii="Times New Roman" w:eastAsia="Times New Roman" w:hAnsi="Times New Roman"/>
                      <w:sz w:val="20"/>
                      <w:szCs w:val="20"/>
                    </w:rPr>
                    <w:br/>
                    <w:t xml:space="preserve">2. Emerging Measurements, Collierville,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Thermographic phosphors offer a non-invasive and remote temperature sensing mechanism with a very high degree of thermal sensitivity. La</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S</w:t>
                  </w:r>
                  <w:proofErr w:type="gramStart"/>
                  <w:r w:rsidRPr="001F5B5C">
                    <w:rPr>
                      <w:rFonts w:ascii="Times New Roman" w:eastAsia="Times New Roman" w:hAnsi="Times New Roman"/>
                      <w:sz w:val="20"/>
                      <w:szCs w:val="20"/>
                    </w:rPr>
                    <w:t>:Eu</w:t>
                  </w:r>
                  <w:proofErr w:type="gramEnd"/>
                  <w:r w:rsidRPr="001F5B5C">
                    <w:rPr>
                      <w:rFonts w:ascii="Times New Roman" w:eastAsia="Times New Roman" w:hAnsi="Times New Roman"/>
                      <w:sz w:val="20"/>
                      <w:szCs w:val="20"/>
                    </w:rPr>
                    <w:t xml:space="preserve"> is one of the most sensitive thermographic phosphors currently available with a demonstrated sensitivity of 0.05 C. However, the fine powder form of these materials severely restricts the range of applications. In this study, thermographic phosphors were embedded within an inert polymeric encapsulant at various concentrations and the effect of the encapsulating medium on the thermal, optical, and mechanical behavior of the phosphor powder was investigated and fully characterized. Using the spin-coating technique, thin polymer films with 10% to 50% phosphor concentrations were created and fully characterized. Results demonstrate the feasibility of a flexible “peel-and stick” thermal sensor where the sensitivity of the sensor strongly depends on the concentration of the powder embedded in the polymer, and, the cluster sizes formed during the synthesis stage.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2356620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Why does the acetaldehyde enolate favor reaction at the O atom during gas-phase nucleophilic substitution? Contributions by resonance and inductive effects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Christian Seitz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cseitz@elon.edu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Christian Seitz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Joel M. Karty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Elon University, Elon,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Enolate anions are bidentate nucleophiles that can undergo reaction at the O atom or the alpha C atom. In solution, the C atom is usually the preferred reaction site, but in the gas phase, the O atom is. To better understand this preference in the gas phase, we carried out density functional theory calculations at the MPWPW91/6-311++</w:t>
                  </w:r>
                  <w:proofErr w:type="gramStart"/>
                  <w:r w:rsidRPr="001F5B5C">
                    <w:rPr>
                      <w:rFonts w:ascii="Times New Roman" w:eastAsia="Times New Roman" w:hAnsi="Times New Roman"/>
                      <w:sz w:val="20"/>
                      <w:szCs w:val="20"/>
                    </w:rPr>
                    <w:t>G(</w:t>
                  </w:r>
                  <w:proofErr w:type="gramEnd"/>
                  <w:r w:rsidRPr="001F5B5C">
                    <w:rPr>
                      <w:rFonts w:ascii="Times New Roman" w:eastAsia="Times New Roman" w:hAnsi="Times New Roman"/>
                      <w:sz w:val="20"/>
                      <w:szCs w:val="20"/>
                    </w:rPr>
                    <w:t>3df,3pd) level of theory to determine the contributions by resonance and inductive effects toward the enhanced reactivity at O over C for the SN2 reaction between the formate anion and CH3F. To separate the contribution by resonance from that by inductive effects, we applied the vinylogue extrapolation method. Our results suggest that the dominant factor is the loss of resonance from the enolate nucleophile upon going to the transition state. That loss of resonance serves to disfavor both C attack and O attack, but C attack is disfavored significantly more than O attack.</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2359958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Assigning Acetol: Simulated IR spectra using high-level ab-intio methods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Nicole Tipton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tiptonnm@appstate.edu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Nicole Tipton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w:t>
                  </w:r>
                  <w:proofErr w:type="gramStart"/>
                  <w:r w:rsidRPr="001F5B5C">
                    <w:rPr>
                      <w:rFonts w:ascii="Times New Roman" w:eastAsia="Times New Roman" w:hAnsi="Times New Roman"/>
                      <w:sz w:val="20"/>
                      <w:szCs w:val="20"/>
                    </w:rPr>
                    <w:t>Chemistry ,</w:t>
                  </w:r>
                  <w:proofErr w:type="gramEnd"/>
                  <w:r w:rsidRPr="001F5B5C">
                    <w:rPr>
                      <w:rFonts w:ascii="Times New Roman" w:eastAsia="Times New Roman" w:hAnsi="Times New Roman"/>
                      <w:sz w:val="20"/>
                      <w:szCs w:val="20"/>
                    </w:rPr>
                    <w:t xml:space="preserve"> Appalachian State University, Boone,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CFOUR is a program that utilizes coupled-cluster techniques to perform computations in quantum chemistry on a wide range of atoms and molecules. The molecule of interest in this study involves acetol (C3H6O2), a largely reactive organic compound, which contains a carbonyl and hydroxl functional group. The purpose of this research is to assign a highly accurate IR simulation to acetol using ab initio calculations that are performed in CFOUR, compared to excellent quantitative IR spectra from the NWIR database. Acetol was geometrically optimized to an energy minimum that included no symmetry about the molecule. The methyl rotor was investigated </w:t>
                  </w:r>
                  <w:proofErr w:type="gramStart"/>
                  <w:r w:rsidRPr="001F5B5C">
                    <w:rPr>
                      <w:rFonts w:ascii="Times New Roman" w:eastAsia="Times New Roman" w:hAnsi="Times New Roman"/>
                      <w:sz w:val="20"/>
                      <w:szCs w:val="20"/>
                    </w:rPr>
                    <w:t>with a series single-point energy calculations</w:t>
                  </w:r>
                  <w:proofErr w:type="gramEnd"/>
                  <w:r w:rsidRPr="001F5B5C">
                    <w:rPr>
                      <w:rFonts w:ascii="Times New Roman" w:eastAsia="Times New Roman" w:hAnsi="Times New Roman"/>
                      <w:sz w:val="20"/>
                      <w:szCs w:val="20"/>
                    </w:rPr>
                    <w:t>: no symmetrical conformer was found. The optimization computed was further employed to assign fundamental vibrational modes, harmonic frequencies and IR intensities, and anharmonic frequencies and intensities using the second-order Møller-Plesset perturbation theory (MP2) with the TZP basis set. The observed simulated IR spectra of this data indicated CFOUR was successful in computing accurate fundamentals in addition to combination bands and overtones for the C-H and O-H stretching bands in acetol.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2360169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 xml:space="preserve">Characterization of P3HT/Graphene Composites Synthesized via </w:t>
                  </w:r>
                  <w:r w:rsidRPr="001F5B5C">
                    <w:rPr>
                      <w:rFonts w:ascii="Times New Roman" w:eastAsia="Times New Roman" w:hAnsi="Times New Roman"/>
                      <w:i/>
                      <w:iCs/>
                      <w:sz w:val="20"/>
                      <w:szCs w:val="20"/>
                    </w:rPr>
                    <w:t>in-situ</w:t>
                  </w:r>
                  <w:r w:rsidRPr="001F5B5C">
                    <w:rPr>
                      <w:rFonts w:ascii="Times New Roman" w:eastAsia="Times New Roman" w:hAnsi="Times New Roman"/>
                      <w:sz w:val="20"/>
                      <w:szCs w:val="20"/>
                    </w:rPr>
                    <w:t xml:space="preserve"> GRIM Methods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Dillon Presto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prestodg@g.cofc.edu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Dillon Presto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Vivian Song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S. Boucher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College of Charleston, Charleston, SC, United States. </w:t>
                  </w:r>
                  <w:r w:rsidRPr="001F5B5C">
                    <w:rPr>
                      <w:rFonts w:ascii="Times New Roman" w:eastAsia="Times New Roman" w:hAnsi="Times New Roman"/>
                      <w:sz w:val="20"/>
                      <w:szCs w:val="20"/>
                    </w:rPr>
                    <w:br/>
                    <w:t xml:space="preserve">2. Department of Chemistry and Biochemistry,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proofErr w:type="gramStart"/>
                  <w:r w:rsidRPr="001F5B5C">
                    <w:rPr>
                      <w:rFonts w:ascii="Times New Roman" w:eastAsia="Times New Roman" w:hAnsi="Times New Roman"/>
                      <w:sz w:val="20"/>
                      <w:szCs w:val="20"/>
                    </w:rPr>
                    <w:t>Poly(</w:t>
                  </w:r>
                  <w:proofErr w:type="gramEnd"/>
                  <w:r w:rsidRPr="001F5B5C">
                    <w:rPr>
                      <w:rFonts w:ascii="Times New Roman" w:eastAsia="Times New Roman" w:hAnsi="Times New Roman"/>
                      <w:sz w:val="20"/>
                      <w:szCs w:val="20"/>
                    </w:rPr>
                    <w:t xml:space="preserve">3-hexylthiophene)/Graphene (P3HT/G) composites are synthesized via in-situ Grignard metathesis and characterized with an array of techniques including </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H NMR, WAXS, FTIR and Raman spectroscopies and AFM. Broadening of FTIR features corresponding to the P3HT thiophene backbone and an increase in the band intensity of other vibrational modes suggest significant ground-state interactions between the P3HT and graphene moieties. An increase in the intensity of the (220) Bragg peak observed in WAXS data is indicative of enhanced interchain ordering of P3HT/G composites. AFM images of P3HT/G films provide additional evidence that the presence of graphene during polymerization has a significant effect on the organization of P3HT chains.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2361531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Adsorption of Immunoglobulin on Cellulose and Chitin Films Using Surface Plasmon Resonance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Nels Anderson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nelsinater@hotmail.com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Nels T. Anderson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Alan Esker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Northwest Missouri State University, Centralia, MO, United States. </w:t>
                  </w:r>
                  <w:r w:rsidRPr="001F5B5C">
                    <w:rPr>
                      <w:rFonts w:ascii="Times New Roman" w:eastAsia="Times New Roman" w:hAnsi="Times New Roman"/>
                      <w:sz w:val="20"/>
                      <w:szCs w:val="20"/>
                    </w:rPr>
                    <w:br/>
                    <w:t xml:space="preserve">2. Virginia Tech, Blacksburg,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Chitin and cellulose are useful as biomaterials because of their mechanical properties, abundance in nature, and biocompatibility with humans. Potential applications of chitin and cellulose include wound healing agents and drug delivery. In order to achieve and enhance these applications, it is important to understand how proteins will interact with chitin and cellulose. The goal of this study was to compare the degree to which the antibody Immunoglobulin G (IgG) adsorbs onto cellulose and chitin using surface plasmon resonance (SPR). In order to accomplish this objective, thin polysaccharide films were generated by spincoating solutions of trimethylsilyl (TMS) derivatives of the polymers. The TMS groups were then cleaved by placing the sensors over a 10% HCl solution. Changes in the resonant angle due to IgG adsorption onto these films as a function of time was tracked by SPR. Typical SPR spectra consisted of a baseline established using a phosphate buffer solution (PBS) (pH=7.4), an increase in the resonant angle arising from IgG adsorption, and finally another baseline established using PBS to remove all protein that had reversibly adsorbed. The change in the resonant angle due to adsorption was then converted to surface concentration (Γ) as a function of IgG solution concentration. Freundlich adsorption isotherms were then used to model the data for these surfaces. These isotherms suggest greater IgG adsorption onto chitin than cellulose which could be due to stronger van der Waals interactions between IgG and the acetyl groups of chitin.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2366015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Green Synthesis, Characterization of Saccharide Coated Gold Nanoparticles for Catalytic Applications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Harsh Moolani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harsh.moolani064@topper.wku.edu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Harsh Moolani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Jason Payne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Rajalingam Dakshinamurthy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Western Kentucky University, Owensboro, KY,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Gold nanoparticles (AuNPs) have gained an immense interest due to their wide applications in the fields of biomedical and pharmaceutical, which is due to their unique physico-chemical properties when they are reduced to their nanoscale size range. Here, we present a novel single step bio-friendly process for synthesis of fructose (monosaccharide), sucrose (disaccharide) and raffinose (trisaccharide) capped AuNPs, wherein saccharides are directly capped onto gold without the use of any secondary capping/stabilizing agent. Our study is mainly focused on the effect of various lengths of the saccharides in the formation and catalytic reduction activity of saccharide capped AuNPs. Characterization of synthesized AuNPs was accomplished using various analytical characterization techniques such as TEM, SEM-EDS, FTIR, and UV-Vis spectroscopy. A 4-nitrophenol reduction assay was utilized to evaluate the catalytic reduction activity of various saccharide capped AuNPs at different temperatures using UV-Vis spectroscopy. Using the spectroscopic data, rate constant for three saccharide capped AuNPs were determined followed by its activation energy and exponential factor using different equations. Utilizing the exponential factor data we were also able to calculate the kinetics of the change in entropy of the catalysis. From the kinetic data, the catalytic reduction activity for three saccharides was, in the descending order: fructose, sucrose and raffinose AuNPs respectively. This difference in the catalytic activity is believed to be due to the size of ligand on gold surface which greatly influences the surface/volume ratio.</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2366480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Solid Surface Free Energy Determination via Contact Angle Measurement: An Inexpensive Undergraduate Physical Chemistry Laboratory Experiment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 Bullington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aebullington@mail.lipscomb.edu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Alex E. Bullington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Emily B. Henry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Aseel A. Mahmood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Thomas B. Cavitt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Biochemistry, Lipscomb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Contact angles provide data for a number of thermodynamic values involving the interface between solid, liquid, and vapor phases. The goniometer, an instrument used to measure contact angles, is relatively expensive and uncommon in undergraduate physical chemistry labs. Using the sessile drop method, a mobile electronic device equipped with a macrolens and supported by a tripod photographs the contact angle which is then measured with a protractor. Based on the Young-Dupré equation and a Zisman plot, the solid surface free energy and the interfacial surface free energy can be determined by measuring the contact angle (θ) of multiple liquids using the aforementioned ubiquitous, inexpensive equipment. The surface free energy (i.e., surface tension) of the liquids can be plotted versus the cosine of the respective contact angles on a Zisman plot to determine the interfacial surface free energy. The surface free energy of the solid may then be extrapolated from the Zisman plot where cos θ = 1. The results demonstrate a method to calculate the surface free energy of a solid substrate via contact angle measurements and can be corroborated by published surface free energy values of several substrates.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0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2366670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Binding of novel earth abundant metal coordination complexes as molecular spacers to single-walled carbon nanotubes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Chauncey McNeill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cmcnei29@uncc.edu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Chauncey X. McNeill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James Mitchell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Igor N. Shcherbakov</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Jordan C. Poler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UNC Charlotte, Charlotte, NC, United States. </w:t>
                  </w:r>
                  <w:r w:rsidRPr="001F5B5C">
                    <w:rPr>
                      <w:rFonts w:ascii="Times New Roman" w:eastAsia="Times New Roman" w:hAnsi="Times New Roman"/>
                      <w:sz w:val="20"/>
                      <w:szCs w:val="20"/>
                    </w:rPr>
                    <w:br/>
                    <w:t xml:space="preserve">2. Chemistry, UNC Charlotte, Charlotte, NC, United States. </w:t>
                  </w:r>
                  <w:r w:rsidRPr="001F5B5C">
                    <w:rPr>
                      <w:rFonts w:ascii="Times New Roman" w:eastAsia="Times New Roman" w:hAnsi="Times New Roman"/>
                      <w:sz w:val="20"/>
                      <w:szCs w:val="20"/>
                    </w:rPr>
                    <w:br/>
                    <w:t xml:space="preserve">3. Physical and Colloid Chemistry, Souther Federal University, Rostov-on-Don, Russian Federation.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We will report on the binding to and aggregation of carbon nanotubes by novel metal coordination complexes acting as molecular spacers. These complexes act to enhance available Electrical Double Layer Capacitance and add a significant pseudocapacitance increasing the specific capacitance, specific energy, and power. We will present results using compounds like 4-(tert-butyl)-2,6-bis((2-(phthalazin-1-yl)hydrazono)methyl)phenol (m</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-methoxo) dizinc(II) which use earth abundant metals and therefore enable a sustainable solution to a diffiecult societal problem. Kinetics of binding show zeroth order behavior supporting an indepemdemt binding model. Onset of aggregation and conductivity studies support an ion-pair binding model that differes significantly from previous studies in this area. Adsorption isotherm data are fit </w:t>
                  </w:r>
                  <w:proofErr w:type="gramStart"/>
                  <w:r w:rsidRPr="001F5B5C">
                    <w:rPr>
                      <w:rFonts w:ascii="Times New Roman" w:eastAsia="Times New Roman" w:hAnsi="Times New Roman"/>
                      <w:sz w:val="20"/>
                      <w:szCs w:val="20"/>
                    </w:rPr>
                    <w:t>my the</w:t>
                  </w:r>
                  <w:proofErr w:type="gramEnd"/>
                  <w:r w:rsidRPr="001F5B5C">
                    <w:rPr>
                      <w:rFonts w:ascii="Times New Roman" w:eastAsia="Times New Roman" w:hAnsi="Times New Roman"/>
                      <w:sz w:val="20"/>
                      <w:szCs w:val="20"/>
                    </w:rPr>
                    <w:t xml:space="preserve"> three parameter BET model which is statistically significant when compared to Langmuir and Freundlich models. Membrane resistance measurment suggest that the tub-tube distances are separated due to the intercalation of these molcular spacers. Molecular modeling of the ion-accessible surface area around the SWCNTs will be presented in the context of the enhanced capacitance found on these thin films materials.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2366709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Liquid Structure of hydrofluoromethanes using First Principles Monte Carlo Simulations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Zachary Windom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zww9@msstate.edu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Zachary Windom</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Himanshu Goel</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Neeraj Rai</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Dave C. Swalm School of Chemical Engineering, Mississippi State University, Gulfport, MS, United States. </w:t>
                  </w:r>
                  <w:r w:rsidRPr="001F5B5C">
                    <w:rPr>
                      <w:rFonts w:ascii="Times New Roman" w:eastAsia="Times New Roman" w:hAnsi="Times New Roman"/>
                      <w:sz w:val="20"/>
                      <w:szCs w:val="20"/>
                    </w:rPr>
                    <w:br/>
                    <w:t xml:space="preserve">2. Center for Advanced Vehicular Systems, Starkville,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order to minimize environmental impacts, hydrofluorocarbons (HFCs) have virtually replaced chlorofluorocarbons (CFCs) that were commonly used as refrigerants and known to cause ozone layer depletion. HFCs also find numerous applications as propellants in metered dose inhalers and cleaning solutions. Given their widespread use, it is important to understand their structural and thermodynamic properties. Here, we employ First Principles Monte Carlo (FPMC) simulations to study the liquid structure of specific HFCs: fluoromethane, difluoromethane, and trifluoromethane. As the widely used local and semilocal density functional theory (DFT) inaccurately models induced dipole-dipole interactions, we use dispersion-corrected and nonlocal density functionals (rVV10, DFT-D3). These functionals are designed to capture dispersion interactions and are expected to provide accurate liquid state properties. In order to understand the molecular arrangement in the first solvation shell, we present spatial distribution functions (SDFs) as well as angular radial distribution functions (ARDFs). We find that fluoromethane and trifluoromethane show preference for a parallel orientation, whereas difluoromethane’s orientation tends to maximize hydrogen bonding, sometimes at the expense of a parallel orientation. Additionally, we include radial distribution functions (RDFs) of each HFC, which expounds upon the work of Lisal and Vacek’s study of fluoromethane and trifluoromethane.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2366905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Surface Energy: A Combinatorial Experimental Design for Novel UV-Curable Coatings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Aseel Mahmood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aamahmood@mail.lipscomb.edu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Aseel A. Mahmood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Emily B. Henry</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Thomas B. Cavitt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Lipscomb University, Nashville, TN, United States. </w:t>
                  </w:r>
                  <w:r w:rsidRPr="001F5B5C">
                    <w:rPr>
                      <w:rFonts w:ascii="Times New Roman" w:eastAsia="Times New Roman" w:hAnsi="Times New Roman"/>
                      <w:sz w:val="20"/>
                      <w:szCs w:val="20"/>
                    </w:rPr>
                    <w:br/>
                    <w:t xml:space="preserve">2. Chemistry and Biochemistry, Lipscomb University, Nashville, TN, United States. </w:t>
                  </w:r>
                  <w:r w:rsidRPr="001F5B5C">
                    <w:rPr>
                      <w:rFonts w:ascii="Times New Roman" w:eastAsia="Times New Roman" w:hAnsi="Times New Roman"/>
                      <w:sz w:val="20"/>
                      <w:szCs w:val="20"/>
                    </w:rPr>
                    <w:br/>
                    <w:t xml:space="preserve">3. Chemistry and Biochemistry, Lipscomb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paper presents a novel formulation screening methodology (FoSM) to predict surface properties of coatings. The van Oss-Chaudhury-Good (OCG) thermodynamic approach determines the surface free energy, based in part on the contact angle. Cassie’s Equation relates the contact angle to the composition of the surface. By combining the data obtained via the OCG approach and Cassie’s Equation, coatings scientists now have a predictive high-throughput experimental design methodology for new product development.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2366937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Determination of the Surface Energy for UV-Curable Easy Release Coatings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Emily Henry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ebhenry@mail.lipscomb.edu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Emily B. Henry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Aseel A. Mahmood</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Thomas B. Cavitt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Lipscomb University, Nashville, TN, United States. </w:t>
                  </w:r>
                  <w:r w:rsidRPr="001F5B5C">
                    <w:rPr>
                      <w:rFonts w:ascii="Times New Roman" w:eastAsia="Times New Roman" w:hAnsi="Times New Roman"/>
                      <w:sz w:val="20"/>
                      <w:szCs w:val="20"/>
                    </w:rPr>
                    <w:br/>
                    <w:t xml:space="preserve">2. Chemistry and Biochemistry, Lipscomb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presentation introduces an experimental design improving developmental efficiency of formulations that produce UV-curable coatings with easy release properties. The surface free energy of a coating is shown to be predictive of its release behavior. Analysis of basic contact angle data using the van Oss-Chaudhury-Good (OCG) approach is applied to determine the surface free energy of coating components; Cassie’s equation is used to harness this information into a predictive process based on the coating composition. Coatings scientists now have a powerful tool minimizing time and material consumption to design release coatings.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2368672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A PHYSICAL APPROACH FOR THE DETERMINATION OF NANOPARTICLE TOXICITY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Norman Wolfe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ndwolfe@unca.edu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Norman Wolfe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Amar Nath</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UNC Asheville, Asheville,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Nanotechnology is a growing field that represents a large financial market with many industrial and consumer applications. Nanoparticles are widely known to be toxic when inhaled, regardless of chemical composition. This is in contradiction with currently held theory which ascribes a chemical cause to the toxicity of nanoparticles. We propose that nanoparticle toxicity is caused by the presence of trapped electrons (electron donating) or holes (electron accepting) in defects on the surface of a particle through a physical mechanism of action in which electrons are transferred inducing biological damage. Phthalocyanine, a widely used nanomaterial, was acquired and characterized using infrared spectroscopy, optical microscopy, SEM, and X-ray diffraction. Samples of phthalocyanine were fumigated in oxygen or ethanol vapor in order to withdraw or inject electrons at point defects respectively in order to alter their electronic properties. </w:t>
                  </w:r>
                  <w:r w:rsidRPr="001F5B5C">
                    <w:rPr>
                      <w:rFonts w:ascii="Times New Roman" w:eastAsia="Times New Roman" w:hAnsi="Times New Roman"/>
                      <w:i/>
                      <w:iCs/>
                      <w:sz w:val="20"/>
                      <w:szCs w:val="20"/>
                    </w:rPr>
                    <w:t>In vitro t</w:t>
                  </w:r>
                  <w:r w:rsidRPr="001F5B5C">
                    <w:rPr>
                      <w:rFonts w:ascii="Times New Roman" w:eastAsia="Times New Roman" w:hAnsi="Times New Roman"/>
                      <w:sz w:val="20"/>
                      <w:szCs w:val="20"/>
                    </w:rPr>
                    <w:t>oxicity of both fumigated and untreated material will be analyzed in lots of three in collaboration with the University of Montana. These measurements will be compared to determine the electronic nature of defect sites in the material and their role in toxicity. The purpose of this research is to create a framework for developing a physical set of criteria useful in determining the toxicity of nanomaterials that may be analyzed without the use of expensive, time-consuming biological methods.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2368779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Supraparamagnetic Fe</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 xml:space="preserve"> nanoparticles for magnetic isolation of anion exchange resin during water purification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Emily Schmidt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eschmid7@uncc.edu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Emily Schmidt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Billy R. Johnson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Tim Eldred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Jordan C. Poler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UNC Charlotte, Charlotte, NC, United States. </w:t>
                  </w:r>
                  <w:r w:rsidRPr="001F5B5C">
                    <w:rPr>
                      <w:rFonts w:ascii="Times New Roman" w:eastAsia="Times New Roman" w:hAnsi="Times New Roman"/>
                      <w:sz w:val="20"/>
                      <w:szCs w:val="20"/>
                    </w:rPr>
                    <w:br/>
                    <w:t xml:space="preserve">2. Chemistry, UNC Charlotte, Charlotte,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Dissolved organic matter in public water sources is difficult to remove and is a potential health hazard after chlorination. Carcinogenic Disinfection Byproducts (DBPs), result from reactions with chlorinated water. Research into new technologies for the detection and removal of minute amounts of pollutants from drinking water supplies is driven by the limitations of current technologies. Investigation of supraparticle assemblies suggests that the surface of the Single-Walled Carbon Nanotubes (SWCNTs) may be useful in adsorbing and removing toxins from the water; the attachment of nanotubes to magnetic nanoparticles provides a way to extract these supraparticles from water efficiently and thoroughly. Supraparamagnetic Fe</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 xml:space="preserve"> nanoparticles, which are attracted to an external magnetic field, were successfully synthesized and characterized. These particles were coated with a gold shell and stabilized with citrate. SEM, DLS, zeta potential, magnetic, and spectroscopic studies of these particles will be presented. Capabilities of a nanoscale anion exchange resin have been determined and removal of surrogate contaminants will be reported as well as the progress toward full magnetic isolation of these supraparticle assemblies from solution. These particles have been found to be recylible and are therefore a sustainable technology.</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2368908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Synthesis and Computational Studies of the Hyperpolarizability of Halogenated Saccharins and Related Molecules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Morgan McDaniel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morganbmac@gmail.com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Morgan McDaniel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A. Clabo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Francis Marion Univ, Florence,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work continues and expands our research investigating the hyperpolarizability of organic molecules structurally related to saccharin. Synthetic interest in transition metal complexes containing halosaccharin ligands (and that may have a large hyperpolarizability) creates the second purpose of the work which has been the synthesis of chloro-, bromo-, and iodo-saccharins, their salts and transition metal complexes, with only chlorosaccharin having been synthesized previously to our knowledge. Hyperpolarizability of these molecules has been calculated with various theoretical models and basis sets, including simulated solutions and laser fields, as we continue to identify a level of theory that successfully reproduces and predicts experimental data.</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Oral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2368934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Computational Investigations of Correlated Wavefunctions in Organic Molecules with Large Hyperpolarizability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Patricia Snowden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patriciasnowden@aol.com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Patricia Snowden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A. Clabo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Francis Marion Univ, Florence,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Oral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work continues and expands earlier research investigating the hyperpolarizability of organic molecules. Having previously found no satisfactory level of theory at which molecular hyperpolarizability is accurately calculated (with respect to experimentally determined values), the work here has continued this effort by surveying wavefunction contributions from excited states as determined by CISD and MCSCF explicitly correlated wavefunctions and the empirical correlation with calculated molecular hyperpolarizability. Reference organic molecules have been considered as well as substituted saccharins and their metal complexes.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2318554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Photoacoustic spectroscopy with SF</w:t>
                  </w:r>
                  <w:r w:rsidRPr="001F5B5C">
                    <w:rPr>
                      <w:rFonts w:ascii="Times New Roman" w:eastAsia="Times New Roman" w:hAnsi="Times New Roman"/>
                      <w:sz w:val="20"/>
                      <w:szCs w:val="20"/>
                      <w:vertAlign w:val="subscript"/>
                    </w:rPr>
                    <w:t>6</w:t>
                  </w:r>
                  <w:r w:rsidRPr="001F5B5C">
                    <w:rPr>
                      <w:rFonts w:ascii="Times New Roman" w:eastAsia="Times New Roman" w:hAnsi="Times New Roman"/>
                      <w:sz w:val="20"/>
                      <w:szCs w:val="20"/>
                    </w:rPr>
                    <w:t>, an optically thick greenhouse gas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Wittmann Murphy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yjy711@mocs.utc.edu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Wittmann Murphy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Han Park</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Tennessee at Chattanooga, Chattanooga,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Photoacoustic spectroscopy was used to test the photoacoustic properties of sulfur hexafluoride, an optically thick and potent greenhouse gas. Detection of trace amounts of the gas was also implemented. The conditions in which the gas was tested, gas cell length, temperature, concentration, and power of the laser, were varied in order to determine their effect on the photoacoustic signal, and an ideal condition to detect trace gas amounts. A detection limit of 2.86 ppb was determined for SF</w:t>
                  </w:r>
                  <w:r w:rsidRPr="001F5B5C">
                    <w:rPr>
                      <w:rFonts w:ascii="Times New Roman" w:eastAsia="Times New Roman" w:hAnsi="Times New Roman"/>
                      <w:sz w:val="20"/>
                      <w:szCs w:val="20"/>
                      <w:vertAlign w:val="subscript"/>
                    </w:rPr>
                    <w:t>6</w:t>
                  </w:r>
                  <w:r w:rsidRPr="001F5B5C">
                    <w:rPr>
                      <w:rFonts w:ascii="Times New Roman" w:eastAsia="Times New Roman" w:hAnsi="Times New Roman"/>
                      <w:sz w:val="20"/>
                      <w:szCs w:val="20"/>
                    </w:rPr>
                    <w: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2349419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 kinetic study of the dependence of ascorbic acid concentration on temperature and time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Ilyana Ilieva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ilyana.ilieva@pop.belmont.edu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Ilyana Ilieva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Morgan Richardson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Danielle Garrett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Belmont University, Nashville, TN,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Vitamin C, containing ascorbic acid (C</w:t>
                  </w:r>
                  <w:r w:rsidRPr="001F5B5C">
                    <w:rPr>
                      <w:rFonts w:ascii="Times New Roman" w:eastAsia="Times New Roman" w:hAnsi="Times New Roman"/>
                      <w:sz w:val="20"/>
                      <w:szCs w:val="20"/>
                      <w:vertAlign w:val="subscript"/>
                    </w:rPr>
                    <w:t>6</w:t>
                  </w:r>
                  <w:r w:rsidRPr="001F5B5C">
                    <w:rPr>
                      <w:rFonts w:ascii="Times New Roman" w:eastAsia="Times New Roman" w:hAnsi="Times New Roman"/>
                      <w:sz w:val="20"/>
                      <w:szCs w:val="20"/>
                    </w:rPr>
                    <w:t>H</w:t>
                  </w:r>
                  <w:r w:rsidRPr="001F5B5C">
                    <w:rPr>
                      <w:rFonts w:ascii="Times New Roman" w:eastAsia="Times New Roman" w:hAnsi="Times New Roman"/>
                      <w:sz w:val="20"/>
                      <w:szCs w:val="20"/>
                      <w:vertAlign w:val="subscript"/>
                    </w:rPr>
                    <w:t>8</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6</w:t>
                  </w:r>
                  <w:r w:rsidRPr="001F5B5C">
                    <w:rPr>
                      <w:rFonts w:ascii="Times New Roman" w:eastAsia="Times New Roman" w:hAnsi="Times New Roman"/>
                      <w:sz w:val="20"/>
                      <w:szCs w:val="20"/>
                    </w:rPr>
                    <w:t>), is a water-soluble vitamin and an immensely vital nutrient for the human body. Research shows that different processing techniques, including traditional and flash pasteurization, cold pressing, and fresh squeezing (raw), affect the degradation rate of ascorbic acid in juice. In this study, a series of iodometric titrations and back titrations were performed to determine how much ascorbic acid remains in flash pasteurized orange juice after being stored at 8°C, 23°C, and 40°C over 24-hour periods. At each temperature, the concentration of ascorbic acid was calculated at 1, 2, 4, 6, 16, 18, 20, 22, and 24-hour increments. The results showed that ascorbic acid degradation followed zero kinetics for the back titration method at 23°C, as well as for the traditional titration method at 40°C, which corresponds to results obtained by other similar research studies. Complications with the iodometric titration techniques led to conflicting results in the determination of the kinetic order of the reaction at several of the temperature and time points. Future work includes studying the effectiveness of lowering the concentration of iodine tincture utilized in the traditional titration method, completing the data set for the iodometric back titration at 8°C, and modifying the back titration method from a redox reaction to an acid-base reaction. Once the best titration technique has been determined, the kinetics of the degradation of ascorbic acid in orange juice processed by other methods will be explored.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1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2349977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Wettability of mercaptoundecanoic acid and dodecanethiol on gold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James Watkins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james.watkins@furman.edu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James Watkins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Marion R. Martin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solutions of ethanol, akanethiols adsorb onto the surface of gold in an organized monolayer. This study evaluated the composition and organization of 11-mercaptoundecanoic acid (MUA) and dodecanethiol (DDT) mixed self-assembled monolayers (SAMs). Gold slides were cleaned with ethanol, acetone, and ozone. One set of gold slides were immersed in a solution of MUA for eight hours. After rinsing with ethanol and air drying, they were placed in a solution of DDT for eight hours. This process was repeated in reverse order, where the sample was initially immersed in DDT and then in MUA. A third approach was used to grow mixed monolayers, where gold slides were immersed in solutions containing both MUA and DDTwith varied concentrations.</w:t>
                  </w:r>
                  <w:r w:rsidRPr="001F5B5C">
                    <w:rPr>
                      <w:rFonts w:ascii="Times New Roman" w:eastAsia="Times New Roman" w:hAnsi="Times New Roman"/>
                      <w:sz w:val="20"/>
                      <w:szCs w:val="20"/>
                    </w:rPr>
                    <w:br/>
                    <w:t>For all samples, surface wettability was measured using an optical tensiometer. Cassie’s equation was applied to these values to determine the percentage of MUA &amp; DDT in each film. The samples were also investigated by an open-air polarization-modulation infrared reflection/absorption spectrometer (PM-IRRAS). With this data, the packing of monolayers and the presence of alkyl and methyl groups could be determined.</w:t>
                  </w:r>
                  <w:r w:rsidRPr="001F5B5C">
                    <w:rPr>
                      <w:rFonts w:ascii="Times New Roman" w:eastAsia="Times New Roman" w:hAnsi="Times New Roman"/>
                      <w:sz w:val="20"/>
                      <w:szCs w:val="20"/>
                    </w:rPr>
                    <w:br/>
                    <w:t>MUA forms a disorganized layer on its own. In the presence of DDT, the MUA film order and composition were not reproducible. There were no detectable patterns in adsorption. The percentages of MUA and DDT found in the films were erratic, often changing drastically on slides immersed in the same solutions and in the same manner.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2350835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Convex solubility parameters for polymers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Benjamin Stephens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stephensbo@g.cofc.edu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David S. Boucher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Benjamin Stephens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Jason Howell</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and Biochemistry, College of Charleston, Charleston, SC, United States. </w:t>
                  </w:r>
                  <w:r w:rsidRPr="001F5B5C">
                    <w:rPr>
                      <w:rFonts w:ascii="Times New Roman" w:eastAsia="Times New Roman" w:hAnsi="Times New Roman"/>
                      <w:sz w:val="20"/>
                      <w:szCs w:val="20"/>
                    </w:rPr>
                    <w:br/>
                    <w:t xml:space="preserve">2. Mathematics,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Solubility parameters are certain measurable quantities that are observed to influence the ability of a solvent to fully dissolve a polymer. Current theory partitions the intermolecular forces between dispersion, polar, and hydrogen bonding interactions, thereby generating a three-dimensional solubility parameter space. The Hansen solubility parameters of a polymer are taken to be the center of a sphere obtained from the best fit of the coordinates of good solvents in the parameter space. Investigations of several polymers (lignin, polyethersulfone, and bitumen) show that the convex hull of all known good solvents in the three-dimensional parameter space also gives a meaningful interpretation of the solubility region. Several methods for computing the convex solubility parameters of a polymer from the convex solubility region are described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2352217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Experimental and theoretical gas-phase studies of Fe(NO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and Co(NO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anion clusters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Chalynette Martinez-Martinez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mchalynette@gmail.com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Chalynette Martinez-Martinez</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 J. Goebbert</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Metal nitrates are common precursors used in the synthesis of metal oxides for catalysts, thin films, and nano-materials. We studied the formation of metal oxide anions from dissociation of gaseous </w:t>
                  </w:r>
                  <w:proofErr w:type="gramStart"/>
                  <w:r w:rsidRPr="001F5B5C">
                    <w:rPr>
                      <w:rFonts w:ascii="Times New Roman" w:eastAsia="Times New Roman" w:hAnsi="Times New Roman"/>
                      <w:sz w:val="20"/>
                      <w:szCs w:val="20"/>
                    </w:rPr>
                    <w:t>Fe(</w:t>
                  </w:r>
                  <w:proofErr w:type="gramEnd"/>
                  <w:r w:rsidRPr="001F5B5C">
                    <w:rPr>
                      <w:rFonts w:ascii="Times New Roman" w:eastAsia="Times New Roman" w:hAnsi="Times New Roman"/>
                      <w:sz w:val="20"/>
                      <w:szCs w:val="20"/>
                    </w:rPr>
                    <w:t>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and Co(NO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using electrospray ionization (ESI), and collision-induced dissociation (CID) in a tandem quadrupole mass spectrometer. Energy-resolved mass spectrometry (ERMS) was employed to measure dissociation energies for the formation of specific fragment ions. Both </w:t>
                  </w:r>
                  <w:proofErr w:type="gramStart"/>
                  <w:r w:rsidRPr="001F5B5C">
                    <w:rPr>
                      <w:rFonts w:ascii="Times New Roman" w:eastAsia="Times New Roman" w:hAnsi="Times New Roman"/>
                      <w:sz w:val="20"/>
                      <w:szCs w:val="20"/>
                    </w:rPr>
                    <w:t>Fe(</w:t>
                  </w:r>
                  <w:proofErr w:type="gramEnd"/>
                  <w:r w:rsidRPr="001F5B5C">
                    <w:rPr>
                      <w:rFonts w:ascii="Times New Roman" w:eastAsia="Times New Roman" w:hAnsi="Times New Roman"/>
                      <w:sz w:val="20"/>
                      <w:szCs w:val="20"/>
                    </w:rPr>
                    <w:t>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and Co(NO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showed sequential loss of NO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to yield metal-oxide nitrate anion complex fragments. </w:t>
                  </w:r>
                  <w:proofErr w:type="gramStart"/>
                  <w:r w:rsidRPr="001F5B5C">
                    <w:rPr>
                      <w:rFonts w:ascii="Times New Roman" w:eastAsia="Times New Roman" w:hAnsi="Times New Roman"/>
                      <w:sz w:val="20"/>
                      <w:szCs w:val="20"/>
                    </w:rPr>
                    <w:t>Fe(</w:t>
                  </w:r>
                  <w:proofErr w:type="gramEnd"/>
                  <w:r w:rsidRPr="001F5B5C">
                    <w:rPr>
                      <w:rFonts w:ascii="Times New Roman" w:eastAsia="Times New Roman" w:hAnsi="Times New Roman"/>
                      <w:sz w:val="20"/>
                      <w:szCs w:val="20"/>
                    </w:rPr>
                    <w:t>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also showed loss of 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via electron transfer from a nitrate ligand to the metal, but reduction was not observed for Co(NO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The </w:t>
                  </w:r>
                  <w:proofErr w:type="gramStart"/>
                  <w:r w:rsidRPr="001F5B5C">
                    <w:rPr>
                      <w:rFonts w:ascii="Times New Roman" w:eastAsia="Times New Roman" w:hAnsi="Times New Roman"/>
                      <w:sz w:val="20"/>
                      <w:szCs w:val="20"/>
                    </w:rPr>
                    <w:t>Fe(</w:t>
                  </w:r>
                  <w:proofErr w:type="gramEnd"/>
                  <w:r w:rsidRPr="001F5B5C">
                    <w:rPr>
                      <w:rFonts w:ascii="Times New Roman" w:eastAsia="Times New Roman" w:hAnsi="Times New Roman"/>
                      <w:sz w:val="20"/>
                      <w:szCs w:val="20"/>
                    </w:rPr>
                    <w:t>NO</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fragment did not undergo further reduction, but showed sequential elimination of NO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2354497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Convergent quantum chemistry for challenging dispersion-dominated non-covalent dimers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Marjory Clement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mcclement@comcast.net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Marjory Clement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Gregory S. Tschumper</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Belhaven University, Jackson, MS, United States. </w:t>
                  </w:r>
                  <w:r w:rsidRPr="001F5B5C">
                    <w:rPr>
                      <w:rFonts w:ascii="Times New Roman" w:eastAsia="Times New Roman" w:hAnsi="Times New Roman"/>
                      <w:sz w:val="20"/>
                      <w:szCs w:val="20"/>
                    </w:rPr>
                    <w:br/>
                    <w:t xml:space="preserve">2. Dept Chem Biochem, 322 Coulter Hall, Univ of Mississippi, University,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Five homogeneous dispersion-dominated dimers, composed of acetylene (HCCH), diacetylene (HCCCCH), cyanogen (NCCN), diphosphorous (P</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and 1,4-diphosphabutadiyne (PCCP), were used to study the basis set convergence of the interaction energy (</w:t>
                  </w:r>
                  <w:r w:rsidRPr="001F5B5C">
                    <w:rPr>
                      <w:rFonts w:ascii="Times New Roman" w:eastAsia="Times New Roman" w:hAnsi="Times New Roman"/>
                      <w:i/>
                      <w:iCs/>
                      <w:sz w:val="20"/>
                      <w:szCs w:val="20"/>
                    </w:rPr>
                    <w:t>E</w:t>
                  </w:r>
                  <w:r w:rsidRPr="001F5B5C">
                    <w:rPr>
                      <w:rFonts w:ascii="Times New Roman" w:eastAsia="Times New Roman" w:hAnsi="Times New Roman"/>
                      <w:sz w:val="20"/>
                      <w:szCs w:val="20"/>
                      <w:vertAlign w:val="subscript"/>
                    </w:rPr>
                    <w:t>int</w:t>
                  </w:r>
                  <w:r w:rsidRPr="001F5B5C">
                    <w:rPr>
                      <w:rFonts w:ascii="Times New Roman" w:eastAsia="Times New Roman" w:hAnsi="Times New Roman"/>
                      <w:sz w:val="20"/>
                      <w:szCs w:val="20"/>
                    </w:rPr>
                    <w:t xml:space="preserve">) and the higher-order correlation corrections to </w:t>
                  </w:r>
                  <w:r w:rsidRPr="001F5B5C">
                    <w:rPr>
                      <w:rFonts w:ascii="Times New Roman" w:eastAsia="Times New Roman" w:hAnsi="Times New Roman"/>
                      <w:i/>
                      <w:iCs/>
                      <w:sz w:val="20"/>
                      <w:szCs w:val="20"/>
                    </w:rPr>
                    <w:t>E</w:t>
                  </w:r>
                  <w:r w:rsidRPr="001F5B5C">
                    <w:rPr>
                      <w:rFonts w:ascii="Times New Roman" w:eastAsia="Times New Roman" w:hAnsi="Times New Roman"/>
                      <w:sz w:val="20"/>
                      <w:szCs w:val="20"/>
                      <w:vertAlign w:val="subscript"/>
                    </w:rPr>
                    <w:t>int</w:t>
                  </w:r>
                  <w:r w:rsidRPr="001F5B5C">
                    <w:rPr>
                      <w:rFonts w:ascii="Times New Roman" w:eastAsia="Times New Roman" w:hAnsi="Times New Roman"/>
                      <w:sz w:val="20"/>
                      <w:szCs w:val="20"/>
                    </w:rPr>
                    <w:t>. Each dimer was composed of two identical monomers at their experimental geometries, with the exception of the 1</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 xml:space="preserve">-diphosphabutadiyne monomer, for which the geometry was optimized using a density functional method. Each dimer was examined in three different configurations – cross (X), t-shaped (T), and parallel-displaced (PD) – and the distance between the two monomers in each dimer was allowed to take on three different values roughly corresponding to the potential energy minima at the MP2, CCSD, and </w:t>
                  </w:r>
                  <w:proofErr w:type="gramStart"/>
                  <w:r w:rsidRPr="001F5B5C">
                    <w:rPr>
                      <w:rFonts w:ascii="Times New Roman" w:eastAsia="Times New Roman" w:hAnsi="Times New Roman"/>
                      <w:sz w:val="20"/>
                      <w:szCs w:val="20"/>
                    </w:rPr>
                    <w:t>CCSD(</w:t>
                  </w:r>
                  <w:proofErr w:type="gramEnd"/>
                  <w:r w:rsidRPr="001F5B5C">
                    <w:rPr>
                      <w:rFonts w:ascii="Times New Roman" w:eastAsia="Times New Roman" w:hAnsi="Times New Roman"/>
                      <w:sz w:val="20"/>
                      <w:szCs w:val="20"/>
                    </w:rPr>
                    <w:t>T) levels of theory. Single-point energy computations were performed on each monomer and each dimer, using MP2, CCSD, and CCSD(T), in conjunction with a series of Dunning’s correlation-consistent basis sets augmented with diffuse functions on all non-hydrogen atoms (cc-pV</w:t>
                  </w:r>
                  <w:r w:rsidRPr="001F5B5C">
                    <w:rPr>
                      <w:rFonts w:ascii="Times New Roman" w:eastAsia="Times New Roman" w:hAnsi="Times New Roman"/>
                      <w:i/>
                      <w:iCs/>
                      <w:sz w:val="20"/>
                      <w:szCs w:val="20"/>
                    </w:rPr>
                    <w:t>X</w:t>
                  </w:r>
                  <w:r w:rsidRPr="001F5B5C">
                    <w:rPr>
                      <w:rFonts w:ascii="Times New Roman" w:eastAsia="Times New Roman" w:hAnsi="Times New Roman"/>
                      <w:sz w:val="20"/>
                      <w:szCs w:val="20"/>
                    </w:rPr>
                    <w:t>Z for H and aug-cc-pV</w:t>
                  </w:r>
                  <w:r w:rsidRPr="001F5B5C">
                    <w:rPr>
                      <w:rFonts w:ascii="Times New Roman" w:eastAsia="Times New Roman" w:hAnsi="Times New Roman"/>
                      <w:i/>
                      <w:iCs/>
                      <w:sz w:val="20"/>
                      <w:szCs w:val="20"/>
                    </w:rPr>
                    <w:t>X</w:t>
                  </w:r>
                  <w:r w:rsidRPr="001F5B5C">
                    <w:rPr>
                      <w:rFonts w:ascii="Times New Roman" w:eastAsia="Times New Roman" w:hAnsi="Times New Roman"/>
                      <w:sz w:val="20"/>
                      <w:szCs w:val="20"/>
                    </w:rPr>
                    <w:t xml:space="preserve">Z for C, N, and P, where </w:t>
                  </w:r>
                  <w:r w:rsidRPr="001F5B5C">
                    <w:rPr>
                      <w:rFonts w:ascii="Times New Roman" w:eastAsia="Times New Roman" w:hAnsi="Times New Roman"/>
                      <w:i/>
                      <w:iCs/>
                      <w:sz w:val="20"/>
                      <w:szCs w:val="20"/>
                    </w:rPr>
                    <w:t>X</w:t>
                  </w:r>
                  <w:r w:rsidRPr="001F5B5C">
                    <w:rPr>
                      <w:rFonts w:ascii="Times New Roman" w:eastAsia="Times New Roman" w:hAnsi="Times New Roman"/>
                      <w:sz w:val="20"/>
                      <w:szCs w:val="20"/>
                    </w:rPr>
                    <w:t>=5,6; denoted ha</w:t>
                  </w:r>
                  <w:r w:rsidRPr="001F5B5C">
                    <w:rPr>
                      <w:rFonts w:ascii="Times New Roman" w:eastAsia="Times New Roman" w:hAnsi="Times New Roman"/>
                      <w:i/>
                      <w:iCs/>
                      <w:sz w:val="20"/>
                      <w:szCs w:val="20"/>
                    </w:rPr>
                    <w:t>X</w:t>
                  </w:r>
                  <w:r w:rsidRPr="001F5B5C">
                    <w:rPr>
                      <w:rFonts w:ascii="Times New Roman" w:eastAsia="Times New Roman" w:hAnsi="Times New Roman"/>
                      <w:sz w:val="20"/>
                      <w:szCs w:val="20"/>
                    </w:rPr>
                    <w:t xml:space="preserve">Z). The interaction energy, both counterpoise- and non counterpoise-corrected, was computed for each system and extrapolated to the CBS limit, using a variety of extrapolation schemes. This estimate was compared to previous estimates of the CBS limit extrapolated from values calculated with the aTZ and aQZ basis sets. Additionally, higher-order correlation effects were assessed using </w:t>
                  </w:r>
                  <w:proofErr w:type="gramStart"/>
                  <w:r w:rsidRPr="001F5B5C">
                    <w:rPr>
                      <w:rFonts w:ascii="Times New Roman" w:eastAsia="Times New Roman" w:hAnsi="Times New Roman"/>
                      <w:sz w:val="20"/>
                      <w:szCs w:val="20"/>
                    </w:rPr>
                    <w:t>CCSD(</w:t>
                  </w:r>
                  <w:proofErr w:type="gramEnd"/>
                  <w:r w:rsidRPr="001F5B5C">
                    <w:rPr>
                      <w:rFonts w:ascii="Times New Roman" w:eastAsia="Times New Roman" w:hAnsi="Times New Roman"/>
                      <w:sz w:val="20"/>
                      <w:szCs w:val="20"/>
                    </w:rPr>
                    <w:t>T) with the same series of ha</w:t>
                  </w:r>
                  <w:r w:rsidRPr="001F5B5C">
                    <w:rPr>
                      <w:rFonts w:ascii="Times New Roman" w:eastAsia="Times New Roman" w:hAnsi="Times New Roman"/>
                      <w:i/>
                      <w:iCs/>
                      <w:sz w:val="20"/>
                      <w:szCs w:val="20"/>
                    </w:rPr>
                    <w:t>X</w:t>
                  </w:r>
                  <w:r w:rsidRPr="001F5B5C">
                    <w:rPr>
                      <w:rFonts w:ascii="Times New Roman" w:eastAsia="Times New Roman" w:hAnsi="Times New Roman"/>
                      <w:sz w:val="20"/>
                      <w:szCs w:val="20"/>
                    </w:rPr>
                    <w:t xml:space="preserve">Z basis sets. The current estimate of </w:t>
                  </w:r>
                  <w:r w:rsidRPr="001F5B5C">
                    <w:rPr>
                      <w:rFonts w:ascii="Times New Roman" w:eastAsia="Times New Roman" w:hAnsi="Times New Roman"/>
                      <w:i/>
                      <w:iCs/>
                      <w:sz w:val="20"/>
                      <w:szCs w:val="20"/>
                    </w:rPr>
                    <w:t>E</w:t>
                  </w:r>
                  <w:r w:rsidRPr="001F5B5C">
                    <w:rPr>
                      <w:rFonts w:ascii="Times New Roman" w:eastAsia="Times New Roman" w:hAnsi="Times New Roman"/>
                      <w:sz w:val="20"/>
                      <w:szCs w:val="20"/>
                      <w:vertAlign w:val="subscript"/>
                    </w:rPr>
                    <w:t>int</w:t>
                  </w:r>
                  <w:r w:rsidRPr="001F5B5C">
                    <w:rPr>
                      <w:rFonts w:ascii="Times New Roman" w:eastAsia="Times New Roman" w:hAnsi="Times New Roman"/>
                      <w:sz w:val="20"/>
                      <w:szCs w:val="20"/>
                    </w:rPr>
                    <w:t xml:space="preserve"> at the CBS limit varied from the previous estimates of the CBS limit by as much as 0.1 kcal/mol at both the </w:t>
                  </w:r>
                  <w:proofErr w:type="gramStart"/>
                  <w:r w:rsidRPr="001F5B5C">
                    <w:rPr>
                      <w:rFonts w:ascii="Times New Roman" w:eastAsia="Times New Roman" w:hAnsi="Times New Roman"/>
                      <w:sz w:val="20"/>
                      <w:szCs w:val="20"/>
                    </w:rPr>
                    <w:t>CCSD(</w:t>
                  </w:r>
                  <w:proofErr w:type="gramEnd"/>
                  <w:r w:rsidRPr="001F5B5C">
                    <w:rPr>
                      <w:rFonts w:ascii="Times New Roman" w:eastAsia="Times New Roman" w:hAnsi="Times New Roman"/>
                      <w:sz w:val="20"/>
                      <w:szCs w:val="20"/>
                    </w:rPr>
                    <w:t>T) and CCSD levels and 0.09 kcal/mol at the MP2 level, while the higher-order correlation values varied less between extrapolation schemes, with the CCSD(T)/MP2 term varying by a maximum of 0.07 kcal/mol and the CCSD(T)/CCSD term varying by a maximum of 0.01 kcal/mol.</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2355641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Practical methodologies towards analytical analysis of iron nickel phosphides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Thomas Beckman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perlith.ii@gmail.com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Thomas J. Beckman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Biochemistry, Kennesaw State University, Cedartown,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Before the surface chemistry of a mineral can be studied, it must be prepared in such a way that it presents an optimized surface to the analytical instrument used. In the case of reflection-absorption infrared spectroscopy, the surface of the sample must be polished to a surface defect size of less than 1 micron and vacuum systems, liquid-solid cells and purge lines must be utilized to eliminate undesirable background signals and allow for </w:t>
                  </w:r>
                  <w:r w:rsidRPr="001F5B5C">
                    <w:rPr>
                      <w:rFonts w:ascii="Times New Roman" w:eastAsia="Times New Roman" w:hAnsi="Times New Roman"/>
                      <w:i/>
                      <w:iCs/>
                      <w:sz w:val="20"/>
                      <w:szCs w:val="20"/>
                    </w:rPr>
                    <w:t>in situ</w:t>
                  </w:r>
                  <w:r w:rsidRPr="001F5B5C">
                    <w:rPr>
                      <w:rFonts w:ascii="Times New Roman" w:eastAsia="Times New Roman" w:hAnsi="Times New Roman"/>
                      <w:sz w:val="20"/>
                      <w:szCs w:val="20"/>
                    </w:rPr>
                    <w:t xml:space="preserve"> measurements. To get to this state, a variety of methods must be used in conjunction with knowledge of properties such as the phase diagram of the mineral. The meteoric mineral schreibersite ((Fe</w:t>
                  </w:r>
                  <w:proofErr w:type="gramStart"/>
                  <w:r w:rsidRPr="001F5B5C">
                    <w:rPr>
                      <w:rFonts w:ascii="Times New Roman" w:eastAsia="Times New Roman" w:hAnsi="Times New Roman"/>
                      <w:sz w:val="20"/>
                      <w:szCs w:val="20"/>
                    </w:rPr>
                    <w:t>,Ni</w:t>
                  </w:r>
                  <w:proofErr w:type="gramEnd"/>
                  <w:r w:rsidRPr="001F5B5C">
                    <w:rPr>
                      <w:rFonts w:ascii="Times New Roman" w:eastAsia="Times New Roman" w:hAnsi="Times New Roman"/>
                      <w:sz w:val="20"/>
                      <w:szCs w:val="20"/>
                    </w:rPr>
                    <w:t>)</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xml:space="preserve">P) was studied as a source of prebiotic phosphorous, but natural samples are expensive and difficult to process, so creating a synthetic sample was desirable. The metallurgical properties of the mineral were </w:t>
                  </w:r>
                  <w:proofErr w:type="gramStart"/>
                  <w:r w:rsidRPr="001F5B5C">
                    <w:rPr>
                      <w:rFonts w:ascii="Times New Roman" w:eastAsia="Times New Roman" w:hAnsi="Times New Roman"/>
                      <w:sz w:val="20"/>
                      <w:szCs w:val="20"/>
                    </w:rPr>
                    <w:t>studied,</w:t>
                  </w:r>
                  <w:proofErr w:type="gramEnd"/>
                  <w:r w:rsidRPr="001F5B5C">
                    <w:rPr>
                      <w:rFonts w:ascii="Times New Roman" w:eastAsia="Times New Roman" w:hAnsi="Times New Roman"/>
                      <w:sz w:val="20"/>
                      <w:szCs w:val="20"/>
                    </w:rPr>
                    <w:t xml:space="preserve"> samples were pressed from meshed powder, sintered in a tube furnace, and polished. These processed samples then had mounts designed that allowed for a variety of measurement conditions. The preparation of schreibersite samples as well as the design and manufacture of the sample mounts will be discussed at length.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2356640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Reactivity of aqueous thorium(IV) and plutonium(IV) clusters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Seth Polansky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seth.h.polansky@email.shc.edu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Seth Polansky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Monica Vasiliu</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David A. Dixon</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Spring Hill College, Mobile, AL, United States. </w:t>
                  </w:r>
                  <w:r w:rsidRPr="001F5B5C">
                    <w:rPr>
                      <w:rFonts w:ascii="Times New Roman" w:eastAsia="Times New Roman" w:hAnsi="Times New Roman"/>
                      <w:sz w:val="20"/>
                      <w:szCs w:val="20"/>
                    </w:rPr>
                    <w:br/>
                    <w:t xml:space="preserve">2. Chemistry Dept, Shelby Hall, The University of Alabama, Tuscaloosa, AL, United States. </w:t>
                  </w:r>
                  <w:r w:rsidRPr="001F5B5C">
                    <w:rPr>
                      <w:rFonts w:ascii="Times New Roman" w:eastAsia="Times New Roman" w:hAnsi="Times New Roman"/>
                      <w:sz w:val="20"/>
                      <w:szCs w:val="20"/>
                    </w:rPr>
                    <w:br/>
                    <w:t xml:space="preserve">3.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An understanding of the behavior of metal ions in solution is important to controlling the formation of complexes and for improving chemical separations. Actinides including plutonium and thorium are of particular concern because they are by-products of nuclear fission in nuclear reactors. Polynuclear thorium (IV) complexes have previously been synthesized and studied computationally and a good agreement between experiment and the calculations was observed for neutral close ion pairs. We are studying the monomers which form the known polymers via condensation reactions. The +1 and +2 monomers of thorium (IV) and plutonium (IV) in water are </w:t>
                  </w:r>
                  <w:proofErr w:type="gramStart"/>
                  <w:r w:rsidRPr="001F5B5C">
                    <w:rPr>
                      <w:rFonts w:ascii="Times New Roman" w:eastAsia="Times New Roman" w:hAnsi="Times New Roman"/>
                      <w:sz w:val="20"/>
                      <w:szCs w:val="20"/>
                    </w:rPr>
                    <w:t>M(</w:t>
                  </w:r>
                  <w:proofErr w:type="gramEnd"/>
                  <w:r w:rsidRPr="001F5B5C">
                    <w:rPr>
                      <w:rFonts w:ascii="Times New Roman" w:eastAsia="Times New Roman" w:hAnsi="Times New Roman"/>
                      <w:sz w:val="20"/>
                      <w:szCs w:val="20"/>
                    </w:rPr>
                    <w:t>OH)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6</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M(OH)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7</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and M(OH)</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O)</w:t>
                  </w:r>
                  <w:r w:rsidRPr="001F5B5C">
                    <w:rPr>
                      <w:rFonts w:ascii="Times New Roman" w:eastAsia="Times New Roman" w:hAnsi="Times New Roman"/>
                      <w:sz w:val="20"/>
                      <w:szCs w:val="20"/>
                      <w:vertAlign w:val="subscript"/>
                    </w:rPr>
                    <w:t>5</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After initial hydrolysis, the hydroxides are substituted by the selenates HSeO</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vertAlign w:val="superscript"/>
                    </w:rPr>
                    <w:t xml:space="preserve">- </w:t>
                  </w:r>
                  <w:r w:rsidRPr="001F5B5C">
                    <w:rPr>
                      <w:rFonts w:ascii="Times New Roman" w:eastAsia="Times New Roman" w:hAnsi="Times New Roman"/>
                      <w:sz w:val="20"/>
                      <w:szCs w:val="20"/>
                    </w:rPr>
                    <w:t>and SeO</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The calculations were performed at the level of density functional theory (DFT) with the B3LYP exchange-correlation functional and the cc-pvdz-PP for Th, Stuttgart for Pu, </w:t>
                  </w:r>
                  <w:proofErr w:type="gramStart"/>
                  <w:r w:rsidRPr="001F5B5C">
                    <w:rPr>
                      <w:rFonts w:ascii="Times New Roman" w:eastAsia="Times New Roman" w:hAnsi="Times New Roman"/>
                      <w:sz w:val="20"/>
                      <w:szCs w:val="20"/>
                    </w:rPr>
                    <w:t>DZVP2</w:t>
                  </w:r>
                  <w:proofErr w:type="gramEnd"/>
                  <w:r w:rsidRPr="001F5B5C">
                    <w:rPr>
                      <w:rFonts w:ascii="Times New Roman" w:eastAsia="Times New Roman" w:hAnsi="Times New Roman"/>
                      <w:sz w:val="20"/>
                      <w:szCs w:val="20"/>
                    </w:rPr>
                    <w:t xml:space="preserve"> for O and H, and DZVP for Se basis sets. The COSMO self-consistent reaction field intrinsic solvation model was used to predict free energies in aqueous solution including pK</w:t>
                  </w:r>
                  <w:r w:rsidRPr="001F5B5C">
                    <w:rPr>
                      <w:rFonts w:ascii="Times New Roman" w:eastAsia="Times New Roman" w:hAnsi="Times New Roman"/>
                      <w:sz w:val="20"/>
                      <w:szCs w:val="20"/>
                      <w:vertAlign w:val="subscript"/>
                    </w:rPr>
                    <w:t>a</w:t>
                  </w:r>
                  <w:r w:rsidRPr="001F5B5C">
                    <w:rPr>
                      <w:rFonts w:ascii="Times New Roman" w:eastAsia="Times New Roman" w:hAnsi="Times New Roman"/>
                      <w:sz w:val="20"/>
                      <w:szCs w:val="20"/>
                    </w:rPr>
                    <w: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2358089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Molecular dynamic simulations to study the self assembly of fullerene molecules on graphene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Francis Claire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clairejj@g.cofc.edu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Francis J. Claire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Kristin D. Krantzman</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Yaroslava G. Yingling</w:t>
                  </w:r>
                  <w:r w:rsidRPr="001F5B5C">
                    <w:rPr>
                      <w:rFonts w:ascii="Times New Roman" w:eastAsia="Times New Roman" w:hAnsi="Times New Roman"/>
                      <w:sz w:val="20"/>
                      <w:szCs w:val="20"/>
                      <w:vertAlign w:val="superscript"/>
                    </w:rPr>
                    <w:t>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College of Charleston, Charleston, SC, United States. </w:t>
                  </w:r>
                  <w:r w:rsidRPr="001F5B5C">
                    <w:rPr>
                      <w:rFonts w:ascii="Times New Roman" w:eastAsia="Times New Roman" w:hAnsi="Times New Roman"/>
                      <w:sz w:val="20"/>
                      <w:szCs w:val="20"/>
                    </w:rPr>
                    <w:br/>
                    <w:t xml:space="preserve">2. Chemistry and Biochemistry Dept, College of Charleston, Charleston, SC, United States. </w:t>
                  </w:r>
                  <w:r w:rsidRPr="001F5B5C">
                    <w:rPr>
                      <w:rFonts w:ascii="Times New Roman" w:eastAsia="Times New Roman" w:hAnsi="Times New Roman"/>
                      <w:sz w:val="20"/>
                      <w:szCs w:val="20"/>
                    </w:rPr>
                    <w:br/>
                    <w:t xml:space="preserve">3. Materials Science and Engineering, North Carolina State University, Raleigh,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Graphene and other carbon nanomaterials, such as fullerenes and carbon nanotubes, have a wide range of application within the medical and electronics fields due to their extraordinary electrical, mechanical, and thermal properties. The addition of fullerenes can change the electronic and mechanical properties of graphene. The strong structure of these nanomaterials allows for use within the body as stints or other structural aids in blood vessels, etc. In order to manufacture materials to be useful in this wide range of applications, the interfacial properties and morphology of carbon nanocomposites need to be better understood. Minor changes in processing conditions, chemistry and composition of nanomaterials have led to unpredictable morphology formation. Molecular dynamic (MD) simulations were run using AMBER software and a general Amber force field (GAFF), which is parameterized for organic molecules. MD simulations were used to study the self-assembly of C</w:t>
                  </w:r>
                  <w:r w:rsidRPr="001F5B5C">
                    <w:rPr>
                      <w:rFonts w:ascii="Times New Roman" w:eastAsia="Times New Roman" w:hAnsi="Times New Roman"/>
                      <w:sz w:val="20"/>
                      <w:szCs w:val="20"/>
                      <w:vertAlign w:val="subscript"/>
                    </w:rPr>
                    <w:t>60</w:t>
                  </w:r>
                  <w:r w:rsidRPr="001F5B5C">
                    <w:rPr>
                      <w:rFonts w:ascii="Times New Roman" w:eastAsia="Times New Roman" w:hAnsi="Times New Roman"/>
                      <w:sz w:val="20"/>
                      <w:szCs w:val="20"/>
                    </w:rPr>
                    <w:t xml:space="preserve"> molecules on a single layer of graphene in different solvent environments. The solvent effects on the organization of the fullerene molecules were examined based on the solubility of the carbon allotropes within each solvent system. Fullerene-graphene systems were study </w:t>
                  </w:r>
                  <w:r w:rsidRPr="001F5B5C">
                    <w:rPr>
                      <w:rFonts w:ascii="Times New Roman" w:eastAsia="Times New Roman" w:hAnsi="Times New Roman"/>
                      <w:i/>
                      <w:iCs/>
                      <w:sz w:val="20"/>
                      <w:szCs w:val="20"/>
                    </w:rPr>
                    <w:t>in vacuo</w:t>
                  </w:r>
                  <w:r w:rsidRPr="001F5B5C">
                    <w:rPr>
                      <w:rFonts w:ascii="Times New Roman" w:eastAsia="Times New Roman" w:hAnsi="Times New Roman"/>
                      <w:sz w:val="20"/>
                      <w:szCs w:val="20"/>
                    </w:rPr>
                    <w:t xml:space="preserve"> as well as in explicit solvents of chloroform, water, and carbon disulfide.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2359601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A microcalorimetry study of cations adsorption at the goethite solution interface: Effect of valence and hydration energy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Nicholas Allen | Larry Le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nallen16@student.gsu.edu | llarry4@student.gsu.edu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Nicholas Allen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Larry 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Nadine Kabengi</w:t>
                  </w:r>
                  <w:r w:rsidRPr="001F5B5C">
                    <w:rPr>
                      <w:rFonts w:ascii="Times New Roman" w:eastAsia="Times New Roman" w:hAnsi="Times New Roman"/>
                      <w:sz w:val="20"/>
                      <w:szCs w:val="20"/>
                      <w:vertAlign w:val="superscript"/>
                    </w:rPr>
                    <w:t>2, 1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Georgia State University, Duluth, GA, United States. </w:t>
                  </w:r>
                  <w:r w:rsidRPr="001F5B5C">
                    <w:rPr>
                      <w:rFonts w:ascii="Times New Roman" w:eastAsia="Times New Roman" w:hAnsi="Times New Roman"/>
                      <w:sz w:val="20"/>
                      <w:szCs w:val="20"/>
                    </w:rPr>
                    <w:br/>
                    <w:t xml:space="preserve">2. Department of Geosciences, Georgia State University, Atlanta,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behavior of the electric double layer that develops between metal oxide surfaces and the bulk solution influences all interfacial processes, including mineral dissolution and precipitation, crystal growth, colloidal transport and flocculation, catalysis as well as adsorption of ions from solutions. It has been proposed that the hydration energies of cations have a significant influence on their partitioning between inner-sphere and outer-sphere species, whereby cations with increasing hydration enthalpies adsorbing mostly as outer-sphere species. Using flow microcalorimetry to measure the enthalpies of adsorption in situ, this study will look at the effect of hydration energies across different valence cations to determine whether the trend will be reflected in adsorption enthalpies. Goethite was chosen as it is a well understood surface and representative of metal oxides, one of the most important geochemical componentscontrolling solubility and mobility of anthropogenic pollutants in the environment. The cations chosen for this study are Li+, Na+, K+, Cs+, Mg2+, Ca2+, Ba2+, and Y3+ listed here in an increasing order of valence and then decreasing order of hydration energy.</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The heats of exchange will be obtained using 50 mM solutions of the chloride salts adjusted to pH 10.0 using a carbonate-bicarbonate buffer.</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The heats of exchange (in kJ) will be normalized to mole of charge and compared for all cations. It is expected that cations adsorbing mostly through inner-sphere will not only have a larger molar enthalpy of adsorption but also exhibit a larger extent of irreversibility in their exchange as marked in differences in the relative shape and size of the evolution of their respective heat of exchange.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2359654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Infrared, Raman, NMR and conformational stability of 1,1,3,3,5,5-hexafluoro-1,3,5-trisilacyclohexane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Daniel Hickman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hickmandv@g.cofc.edu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Gamil A. Guirgis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Daniel V. Hickman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Biochem, College of Charleston, Charleston,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Infrared, Raman, and Nuclear Magnetic resonance spectra of 1</w:t>
                  </w:r>
                  <w:proofErr w:type="gramStart"/>
                  <w:r w:rsidRPr="001F5B5C">
                    <w:rPr>
                      <w:rFonts w:ascii="Times New Roman" w:eastAsia="Times New Roman" w:hAnsi="Times New Roman"/>
                      <w:sz w:val="20"/>
                      <w:szCs w:val="20"/>
                    </w:rPr>
                    <w:t>,1,3,3,5,5</w:t>
                  </w:r>
                  <w:proofErr w:type="gramEnd"/>
                  <w:r w:rsidRPr="001F5B5C">
                    <w:rPr>
                      <w:rFonts w:ascii="Times New Roman" w:eastAsia="Times New Roman" w:hAnsi="Times New Roman"/>
                      <w:sz w:val="20"/>
                      <w:szCs w:val="20"/>
                    </w:rPr>
                    <w:t>-hexafluoro-1,3,5-trisilacyclohexane (c-C</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H</w:t>
                  </w:r>
                  <w:r w:rsidRPr="001F5B5C">
                    <w:rPr>
                      <w:rFonts w:ascii="Times New Roman" w:eastAsia="Times New Roman" w:hAnsi="Times New Roman"/>
                      <w:sz w:val="20"/>
                      <w:szCs w:val="20"/>
                      <w:vertAlign w:val="subscript"/>
                    </w:rPr>
                    <w:t>6</w:t>
                  </w:r>
                  <w:r w:rsidRPr="001F5B5C">
                    <w:rPr>
                      <w:rFonts w:ascii="Times New Roman" w:eastAsia="Times New Roman" w:hAnsi="Times New Roman"/>
                      <w:sz w:val="20"/>
                      <w:szCs w:val="20"/>
                    </w:rPr>
                    <w:t>Si</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F</w:t>
                  </w:r>
                  <w:r w:rsidRPr="001F5B5C">
                    <w:rPr>
                      <w:rFonts w:ascii="Times New Roman" w:eastAsia="Times New Roman" w:hAnsi="Times New Roman"/>
                      <w:sz w:val="20"/>
                      <w:szCs w:val="20"/>
                      <w:vertAlign w:val="subscript"/>
                    </w:rPr>
                    <w:t>6</w:t>
                  </w:r>
                  <w:r w:rsidRPr="001F5B5C">
                    <w:rPr>
                      <w:rFonts w:ascii="Times New Roman" w:eastAsia="Times New Roman" w:hAnsi="Times New Roman"/>
                      <w:sz w:val="20"/>
                      <w:szCs w:val="20"/>
                    </w:rPr>
                    <w:t>) as a solid powder have been recorded. The vibrational spectra reveal that the crystalline compound exists as a chair conformer with C</w:t>
                  </w:r>
                  <w:r w:rsidRPr="001F5B5C">
                    <w:rPr>
                      <w:rFonts w:ascii="Times New Roman" w:eastAsia="Times New Roman" w:hAnsi="Times New Roman"/>
                      <w:sz w:val="20"/>
                      <w:szCs w:val="20"/>
                      <w:vertAlign w:val="subscript"/>
                    </w:rPr>
                    <w:t>3v</w:t>
                  </w:r>
                  <w:r w:rsidRPr="001F5B5C">
                    <w:rPr>
                      <w:rFonts w:ascii="Times New Roman" w:eastAsia="Times New Roman" w:hAnsi="Times New Roman"/>
                      <w:sz w:val="20"/>
                      <w:szCs w:val="20"/>
                    </w:rPr>
                    <w:t xml:space="preserve"> symmetry at ambient temperature. Additional conformers such as twist or boat were not detected although quantum chemical calculations indicated a negligible energy difference between the chair and twist forms. The wavenumbers of the IR and Raman bands were measured and the assignments were initially supported by quantum chemical B3LYP/cc-pVTZ calculations in the harmonic approximation. An average relative deviation of ca. 2.9% between the observed and the scaled harmonic calculations was found. Additional force field calculations were carried out, in which the symmetry was reduced to C</w:t>
                  </w:r>
                  <w:r w:rsidRPr="001F5B5C">
                    <w:rPr>
                      <w:rFonts w:ascii="Times New Roman" w:eastAsia="Times New Roman" w:hAnsi="Times New Roman"/>
                      <w:sz w:val="20"/>
                      <w:szCs w:val="20"/>
                      <w:vertAlign w:val="subscript"/>
                    </w:rPr>
                    <w:t>s</w:t>
                  </w:r>
                  <w:r w:rsidRPr="001F5B5C">
                    <w:rPr>
                      <w:rFonts w:ascii="Times New Roman" w:eastAsia="Times New Roman" w:hAnsi="Times New Roman"/>
                      <w:sz w:val="20"/>
                      <w:szCs w:val="20"/>
                    </w:rPr>
                    <w:t xml:space="preserve"> symmetry by a slight distortion of the hexagonal ring. Employing these calculations, a favorable agreement between the observed and calculated wavenumbers was obtained. Further calculations, involving a twist conformer, were not consistent with the spectral results. Neither the modes nor the wavenumbers agreed with the spectral results.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2360793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DNA-Conjugated Silver Clusters with Near-Infrared Spectra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Cara Bradsher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cara.bradsher@furman.edu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Cara Bradsher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Jeffrey T. Petty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Travelers Rest,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Silver clusters with </w:t>
                  </w:r>
                  <w:r w:rsidRPr="001F5B5C">
                    <w:rPr>
                      <w:rFonts w:ascii="Cambria Math" w:eastAsia="Times New Roman" w:hAnsi="Cambria Math" w:cs="Cambria Math"/>
                      <w:sz w:val="20"/>
                      <w:szCs w:val="20"/>
                    </w:rPr>
                    <w:t>≲</w:t>
                  </w:r>
                  <w:r w:rsidRPr="001F5B5C">
                    <w:rPr>
                      <w:rFonts w:ascii="Times New Roman" w:eastAsia="Times New Roman" w:hAnsi="Times New Roman"/>
                      <w:sz w:val="20"/>
                      <w:szCs w:val="20"/>
                    </w:rPr>
                    <w:t>30 atoms are molecules with diverse electronic spectra and wide-ranging emission intensities. Specific cluster chromophores develop within DNA strands, and we consider the DNA scaffold for one such chromophore with near-infrared spectra. The 16-nucleotide strand has the sequence C</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AC</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AC</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TC</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A. This sequence exclusively yield clusters with near-infrared absorption at ~730 nm and emission at ~800 nm results. These clusters develop when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associates with the single-stranded oligonucleotide and are reduced by borohydride. Our studies how the reaction conditions influence the spectrum of the cluster.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2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2360816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Circular Dichroism Studies of Ag+-DNA Complexes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Martin Gillan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martin.gillan@furman.edu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Martin Gillan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Mainak Ganguly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Jeffrey T. Petty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Travelers Rest,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Silver clusters with ~10 atoms develop with oligonucleotides. These clusters develop when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associates with the single-stranded oligonucleotide and are reduced by borohydride. We studied the complexes that form between silver ions and single-stranded DNA using circular dichroism. We used continuous variation analysis to determine the stoichiometries of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with a range of oligonucleotides. We particularly focused on the effect of DNA length of sequence on the number of bound Ag</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2360840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Electronic Spectroscopy and Mass Spectrometry Studies of DNA-Conjugated Silver Clusters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Ian Rankine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ianrankine@gmail.com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Ian Rankine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Mainak Ganguly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Jeffrey T. Petty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Furman University, Travelers Rest,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Silver clusters associate with DNA strands and form distinct chromophores. Silver nanoclusters consisting of ~10 atoms coordinate with DNA, and the DNA ligand tunes the cluster spectra. In this work, we discuss different DNA templates based on repeated sequences. We use absorption and circular dichroism spectroscopies to measure the cluster spectra and mass spectrometry to measure the cluster stoichiometry. Our studies concentrate on the effect of DNA sequence on the cluster environment.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2360973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Conventional strain energies and relative stabilities of the isomers of dimethylcyclobutadiene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Benjamin Peyton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bgpeyton@mc.edu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Benjamin G. Peyton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Qianyi Cheng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Bei Cao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Shelley A.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H. Magers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Biochemistry, Mississippi Colg,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conventional strain energies for 1,2-dimethylcyclobutadiene, 1,3-dimethyl-cyclobutadiene, and 1,4-dimethylcyclobutadiene are determined within the isodesmic, homodesmotic, and hyperhomodesmotic models to see if reduction of strain might correlate with the stabilizing effect these different dimethyl substitutions have on cyclobutadiene. Optimum equilibrium geometries, harmonic vibrational frequencies, and corresponding electronic energies are computed for all pertinent molecular systems using SCF theory, second-order perturbation theory (MP2), and density functional theory (DFT). The DFT functionals employed are Becke’s three-parameter hybrid functional using the LYP correlation functional and the M06-2X high nonlocality hybrid functional from Thular and Zhao. In addition, single point </w:t>
                  </w:r>
                  <w:proofErr w:type="gramStart"/>
                  <w:r w:rsidRPr="001F5B5C">
                    <w:rPr>
                      <w:rFonts w:ascii="Times New Roman" w:eastAsia="Times New Roman" w:hAnsi="Times New Roman"/>
                      <w:sz w:val="20"/>
                      <w:szCs w:val="20"/>
                    </w:rPr>
                    <w:t>CCSD(</w:t>
                  </w:r>
                  <w:proofErr w:type="gramEnd"/>
                  <w:r w:rsidRPr="001F5B5C">
                    <w:rPr>
                      <w:rFonts w:ascii="Times New Roman" w:eastAsia="Times New Roman" w:hAnsi="Times New Roman"/>
                      <w:sz w:val="20"/>
                      <w:szCs w:val="20"/>
                    </w:rPr>
                    <w:t>T) calculations employing the cc-pVQZ basis sets are computed using the MP2/cc-pVQZ optimized geometries to ascertain the contribution of higher-order correlation. The basis sets employed are Dunning and coworkers’ correlation consistent basis sets: cc-pVDZ, cc-pVTZ, and cc-pVQZ. Finally, computed bond angles are also examined for correlation with the relative stability and the relative strain energies of the different isomers. We gratefully acknowledge support from the NSF (EPS-0903787).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2360994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Relative stabilities of derivatives of 9-methylanthracene and 9-methylene-9,10-dihydroanthracene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Amber Morales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amorales2@mc.edu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Amber G. Morales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Bei Cao</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Shelley A.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H. Magers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Biochemistry, Mississippi Colg,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In 1949, Clar and Wright reported that 6-methypentacene exists as 6-methylene-6</w:t>
                  </w:r>
                  <w:proofErr w:type="gramStart"/>
                  <w:r w:rsidRPr="001F5B5C">
                    <w:rPr>
                      <w:rFonts w:ascii="Times New Roman" w:eastAsia="Times New Roman" w:hAnsi="Times New Roman"/>
                      <w:sz w:val="20"/>
                      <w:szCs w:val="20"/>
                    </w:rPr>
                    <w:t>,13</w:t>
                  </w:r>
                  <w:proofErr w:type="gramEnd"/>
                  <w:r w:rsidRPr="001F5B5C">
                    <w:rPr>
                      <w:rFonts w:ascii="Times New Roman" w:eastAsia="Times New Roman" w:hAnsi="Times New Roman"/>
                      <w:sz w:val="20"/>
                      <w:szCs w:val="20"/>
                    </w:rPr>
                    <w:t xml:space="preserve">-dihydropentacene at room temperature due to a [1,5]-sigmatropic hydrogen shift (Nature 1949, 163, 921). Thus, the aromaticity of the central ring and the planarity of the overall compound </w:t>
                  </w:r>
                  <w:proofErr w:type="gramStart"/>
                  <w:r w:rsidRPr="001F5B5C">
                    <w:rPr>
                      <w:rFonts w:ascii="Times New Roman" w:eastAsia="Times New Roman" w:hAnsi="Times New Roman"/>
                      <w:sz w:val="20"/>
                      <w:szCs w:val="20"/>
                    </w:rPr>
                    <w:t>is</w:t>
                  </w:r>
                  <w:proofErr w:type="gramEnd"/>
                  <w:r w:rsidRPr="001F5B5C">
                    <w:rPr>
                      <w:rFonts w:ascii="Times New Roman" w:eastAsia="Times New Roman" w:hAnsi="Times New Roman"/>
                      <w:sz w:val="20"/>
                      <w:szCs w:val="20"/>
                    </w:rPr>
                    <w:t xml:space="preserve"> destroyed by this shift. The same does not occur in anthracene. While the 9-methylene derivative of anthracene is a local minimum, the planar methyl derivative is the more stable. In the current study we investigate if certain derivatives of these systems stabilize the methylene system relative to the methyl.</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Derivatives of the two parent isomers are investigated to determine if certain substituents can stabilize the methylene isomer. Specifically, nitro and trifluoromethyl derivatives are investigated. Optimum equilibrium geometries, harmonic vibrational frequencies, and the corresponding zero-point vibrational energies are computed for each set of isomers using density functional theory. The DFT functionals employed are Becke’s three-parameter hybrid functional using the LYP correlation functional and the M06-2X high nonlocality hybrid functional from Thular and Zhao. The basis sets employed are Dunning and coworkers’ correlation consistent basis sets cc-pVDZ and</w:t>
                  </w:r>
                  <w:r w:rsidRPr="001F5B5C">
                    <w:rPr>
                      <w:rFonts w:ascii="Times New Roman" w:eastAsia="Times New Roman" w:hAnsi="Times New Roman"/>
                      <w:sz w:val="20"/>
                      <w:szCs w:val="20"/>
                    </w:rPr>
                    <w:br/>
                    <w:t>cc-pVTZ. We gratefully acknowledge support from the NSF (EPS-0903787).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2361006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Conventional strain energies of the oxaphosphetanes and the oxadiphosphetanes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Marissa Westrope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westrope@mc.edu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Marissa Westrope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H. Magers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Shelley A. Smith</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Biochemistry, Mississippi Colg,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conventional strain energies of 1</w:t>
                  </w:r>
                  <w:proofErr w:type="gramStart"/>
                  <w:r w:rsidRPr="001F5B5C">
                    <w:rPr>
                      <w:rFonts w:ascii="Times New Roman" w:eastAsia="Times New Roman" w:hAnsi="Times New Roman"/>
                      <w:sz w:val="20"/>
                      <w:szCs w:val="20"/>
                    </w:rPr>
                    <w:t>,2</w:t>
                  </w:r>
                  <w:proofErr w:type="gramEnd"/>
                  <w:r w:rsidRPr="001F5B5C">
                    <w:rPr>
                      <w:rFonts w:ascii="Times New Roman" w:eastAsia="Times New Roman" w:hAnsi="Times New Roman"/>
                      <w:sz w:val="20"/>
                      <w:szCs w:val="20"/>
                    </w:rPr>
                    <w:t>-oxaphosphetane, 1,3-oxaphosphetane, 1,2,3-oxadiphosphetane, and 1,2,4-oxadiphosphetane are determined within the isodesmic, homodesmotic, and hyperhomodesmotic models. Optimum equilibrium geometries, harmonic vibrational frequencies, and corresponding electronic energies and zero-point vibrational energies are computed for all pertinent molecular systems using SCF theory, second-order perturbation theory, and density functional theory (DFT). The DFT functionals employed are Becke’s three-parameter hybrid functional using the LYP correlation functional and the M06-2X high nonlocality hybrid functional from Thular and Zhao. The basis sets employed are Dunning and coworkers’ correlation consistent basis sets: cc-pVDZ, cc-pVTZ, and cc-pVQZ. In addition, cc-</w:t>
                  </w:r>
                  <w:proofErr w:type="gramStart"/>
                  <w:r w:rsidRPr="001F5B5C">
                    <w:rPr>
                      <w:rFonts w:ascii="Times New Roman" w:eastAsia="Times New Roman" w:hAnsi="Times New Roman"/>
                      <w:sz w:val="20"/>
                      <w:szCs w:val="20"/>
                    </w:rPr>
                    <w:t>pV(</w:t>
                  </w:r>
                  <w:proofErr w:type="gramEnd"/>
                  <w:r w:rsidRPr="001F5B5C">
                    <w:rPr>
                      <w:rFonts w:ascii="Times New Roman" w:eastAsia="Times New Roman" w:hAnsi="Times New Roman"/>
                      <w:sz w:val="20"/>
                      <w:szCs w:val="20"/>
                    </w:rPr>
                    <w:t>D+d)Z, cc-pV(T+d)Z, and cc-pV(Q+d)Z basis sets are also investigated to determine the effect of the extra d function for phosphorus on the overall results. The computed conventional strain energies are compared to those of small cyclic hydrocarbons and to other heterocyclic systems. We gratefully acknowledge support from the NSF (EPS-0903787).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2361010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Enthalpies of formation of cyano and methyl derivatives of furan and pyrrole by homodesmotic reactions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Conrad Lewis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cdlewis@mc.edu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Conrad D. Lewis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Erica Q. Chong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Shelley A.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H. Magers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Biochemistry, Mississippi Colg,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Furan is a heterocyclic aromatic compound that is highly volatile. Due to its aromaticity its chemistry is quite different from most heterocyclic ethers. Several derivatives have gained interest lately. 2</w:t>
                  </w:r>
                  <w:proofErr w:type="gramStart"/>
                  <w:r w:rsidRPr="001F5B5C">
                    <w:rPr>
                      <w:rFonts w:ascii="Times New Roman" w:eastAsia="Times New Roman" w:hAnsi="Times New Roman"/>
                      <w:sz w:val="20"/>
                      <w:szCs w:val="20"/>
                    </w:rPr>
                    <w:t>,5</w:t>
                  </w:r>
                  <w:proofErr w:type="gramEnd"/>
                  <w:r w:rsidRPr="001F5B5C">
                    <w:rPr>
                      <w:rFonts w:ascii="Times New Roman" w:eastAsia="Times New Roman" w:hAnsi="Times New Roman"/>
                      <w:sz w:val="20"/>
                      <w:szCs w:val="20"/>
                    </w:rPr>
                    <w:t>-dimethylfuran has been proposed as a possible biofuel, and 3-chlorofuran has been investigated for its effect in furan Diels-Alder reactions. In addition, pyrrole and its derivatives have gained interest due to the large number of pyrrolic compounds in pharmaceuticals and natural products. In the current study, we focus on the computation of the standard enthalpy of formation of methyl and cyano derivatives of furan and pyrrole by homodesmotic reactions. In homodesmotic reactions the number and types of bonds and the bonding environment of each atom are conserved.</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The enthalpy of all of the reactants and products in each homodesmotic equation is computed using SCF theory, second-order perturbation theory (MP2), and density functional theory. The DFT functionals employed are Becke’s three-parameter hybrid functional using the LYP correlation functional, the M06-2X high nonlocality hybrid functional from Thular and Zhao, and the ωB97XD functional from Head-Gordan and coworkers which includes empirical dispersion. The basis sets employed are Dunning and coworkers’ correlation consistent basis sets, cc-pVDZ, cc-pVTZ, and cc-pVQZ. From the resulting enthalpy of reaction, the desired enthalpy of formation is determined by use of reference values for all other systems in the reaction. We gratefully acknowledge support from the NSF (EPS-0903787).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r w:rsidRPr="001F5B5C">
                    <w:rPr>
                      <w:rFonts w:ascii="Times New Roman" w:eastAsia="Times New Roman" w:hAnsi="Times New Roman"/>
                      <w:sz w:val="20"/>
                      <w:szCs w:val="20"/>
                    </w:rPr>
                    <w:t>Accept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decisioned_accepted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2363382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Characterization of Historical Lime Mortar Using Single-sided Nuclear Magnetic Resonance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Benjamin Fortman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bmfortman@email.wm.edu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Benjamin Fortman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Vanessa Lee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Tyler K. Meldrum</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The College of William &amp; Mary, Williamsburg,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br/>
                    <w:t>Lime mortar, a mix of binder, aggregate, and other additives, was extensively used in historical construction, such as that in Colonial Williamsburg. For effective preservation, physical properties of repair mortar, including porosity, capillary action, and physical strength, should be matched to that of the historical material. Due to the diversity of additives used, as well as the length of time necessary for curing, the study of lime mortar remains difficult. Through the use of Nuclear Magnetic Resonance with a single-sided magnet, the porosity of mortar and both the self-diffusion (</w:t>
                  </w:r>
                  <w:r w:rsidRPr="001F5B5C">
                    <w:rPr>
                      <w:rFonts w:ascii="Times New Roman" w:eastAsia="Times New Roman" w:hAnsi="Times New Roman"/>
                      <w:i/>
                      <w:iCs/>
                      <w:sz w:val="20"/>
                      <w:szCs w:val="20"/>
                    </w:rPr>
                    <w:t>D</w:t>
                  </w:r>
                  <w:r w:rsidRPr="001F5B5C">
                    <w:rPr>
                      <w:rFonts w:ascii="Times New Roman" w:eastAsia="Times New Roman" w:hAnsi="Times New Roman"/>
                      <w:sz w:val="20"/>
                      <w:szCs w:val="20"/>
                    </w:rPr>
                    <w:t>) and spin-spin relaxation time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of water within mortar can be noninvasively measured. Additionally,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D</w:t>
                  </w:r>
                  <w:r w:rsidRPr="001F5B5C">
                    <w:rPr>
                      <w:rFonts w:ascii="Times New Roman" w:eastAsia="Times New Roman" w:hAnsi="Times New Roman"/>
                      <w:sz w:val="20"/>
                      <w:szCs w:val="20"/>
                    </w:rPr>
                    <w:t xml:space="preserve"> measurements can be performed, allowing for a better understanding about the interconnectedness of the pores through the motion of water within them. These measurements allow us to quantify the effects of additives within the mortar, such as clay, brick dust, and ash. A better understanding of the effects of individual additives on the physical properties produced in mortar allows us to assist conservators in tailoring the mixture of mortar used on buildings.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2363383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Ultrafast Two-dimensional Relaxometry with Single-sided NMR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Jared King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jnking01@email.wm.edu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Jared King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Vanessa Lee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Ville Telkki</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Tyler K. Meldrum</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Department, The College of William and Mary, Williamsburg, VA, United States. </w:t>
                  </w:r>
                  <w:r w:rsidRPr="001F5B5C">
                    <w:rPr>
                      <w:rFonts w:ascii="Times New Roman" w:eastAsia="Times New Roman" w:hAnsi="Times New Roman"/>
                      <w:sz w:val="20"/>
                      <w:szCs w:val="20"/>
                    </w:rPr>
                    <w:br/>
                    <w:t xml:space="preserve">2. Physics, University of Oulu, Oulu, Northern Ostrobothnia, Finland.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Single-sided NMR is a low cost, non-invasive method of studying the properties of materials.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1</w:t>
                  </w:r>
                  <w:r w:rsidRPr="001F5B5C">
                    <w:rPr>
                      <w:rFonts w:ascii="Times New Roman" w:eastAsia="Times New Roman" w:hAnsi="Times New Roman"/>
                      <w:sz w:val="20"/>
                      <w:szCs w:val="20"/>
                    </w:rPr>
                    <w:t xml:space="preserve"> and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are two values that are particularly important in the field of single-sided NMR. The number of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1</w:t>
                  </w:r>
                  <w:r w:rsidRPr="001F5B5C">
                    <w:rPr>
                      <w:rFonts w:ascii="Times New Roman" w:eastAsia="Times New Roman" w:hAnsi="Times New Roman"/>
                      <w:sz w:val="20"/>
                      <w:szCs w:val="20"/>
                    </w:rPr>
                    <w:t xml:space="preserve"> and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components may correspond to the number of distinct components in a sample, and changes over time in the values of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1</w:t>
                  </w:r>
                  <w:r w:rsidRPr="001F5B5C">
                    <w:rPr>
                      <w:rFonts w:ascii="Times New Roman" w:eastAsia="Times New Roman" w:hAnsi="Times New Roman"/>
                      <w:sz w:val="20"/>
                      <w:szCs w:val="20"/>
                    </w:rPr>
                    <w:t xml:space="preserve"> and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can be used to determine changes in the properties of a sample.</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Two-dimensional experiments can measure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1</w:t>
                  </w:r>
                  <w:r w:rsidRPr="001F5B5C">
                    <w:rPr>
                      <w:rFonts w:ascii="Times New Roman" w:eastAsia="Times New Roman" w:hAnsi="Times New Roman"/>
                      <w:sz w:val="20"/>
                      <w:szCs w:val="20"/>
                    </w:rPr>
                    <w:t xml:space="preserve"> and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simultaneously, providing more information than studies of either component alone and an increased signal-to-noise ratio. However, typical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1</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experiments are time consuming, with low SNR also becoming a problem.</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 Ultrafast two-dimensional NMR methods have been developed to greatly reduce the runtimes of multidimensional experiments in high-field.</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xml:space="preserve"> Here we extended ultrafast inversion recovery-CPMG (IR-CPMG) methods to single-sided NMR experiments to measure </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1</w:t>
                  </w:r>
                  <w:r w:rsidRPr="001F5B5C">
                    <w:rPr>
                      <w:rFonts w:ascii="Times New Roman" w:eastAsia="Times New Roman" w:hAnsi="Times New Roman"/>
                      <w:sz w:val="20"/>
                      <w:szCs w:val="20"/>
                    </w:rPr>
                    <w:t>-</w:t>
                  </w:r>
                  <w:r w:rsidRPr="001F5B5C">
                    <w:rPr>
                      <w:rFonts w:ascii="Times New Roman" w:eastAsia="Times New Roman" w:hAnsi="Times New Roman"/>
                      <w:i/>
                      <w:iCs/>
                      <w:sz w:val="20"/>
                      <w:szCs w:val="20"/>
                    </w:rPr>
                    <w:t>T</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relaxation spectra.</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xml:space="preserve"> Results with similar accuracy and experiment time speedups of up to 20 times were observed for ultrafast experiments versus the typical IR-CPMG experiment with the same parameters.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Meiboom, S.; Gill, D. Modified spin</w:t>
                  </w:r>
                  <w:r w:rsidRPr="001F5B5C">
                    <w:rPr>
                      <w:rFonts w:ascii="Cambria Math" w:eastAsia="Times New Roman" w:hAnsi="Cambria Math" w:cs="Cambria Math"/>
                      <w:sz w:val="20"/>
                      <w:szCs w:val="20"/>
                    </w:rPr>
                    <w:t>‐</w:t>
                  </w:r>
                  <w:r w:rsidRPr="001F5B5C">
                    <w:rPr>
                      <w:rFonts w:ascii="Times New Roman" w:eastAsia="Times New Roman" w:hAnsi="Times New Roman"/>
                      <w:sz w:val="20"/>
                      <w:szCs w:val="20"/>
                    </w:rPr>
                    <w:t xml:space="preserve">echo method for measuring nuclear relaxation times. </w:t>
                  </w:r>
                  <w:r w:rsidRPr="001F5B5C">
                    <w:rPr>
                      <w:rFonts w:ascii="Times New Roman" w:eastAsia="Times New Roman" w:hAnsi="Times New Roman"/>
                      <w:i/>
                      <w:iCs/>
                      <w:sz w:val="20"/>
                      <w:szCs w:val="20"/>
                    </w:rPr>
                    <w:t>Rev Sci Instrum</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1958</w:t>
                  </w:r>
                  <w:r w:rsidRPr="001F5B5C">
                    <w:rPr>
                      <w:rFonts w:ascii="Times New Roman" w:eastAsia="Times New Roman" w:hAnsi="Times New Roman"/>
                      <w:sz w:val="20"/>
                      <w:szCs w:val="20"/>
                    </w:rPr>
                    <w:t>, 29, 688-91.</w:t>
                  </w:r>
                  <w:r w:rsidRPr="001F5B5C">
                    <w:rPr>
                      <w:rFonts w:ascii="Times New Roman" w:eastAsia="Times New Roman" w:hAnsi="Times New Roman"/>
                      <w:sz w:val="20"/>
                      <w:szCs w:val="20"/>
                    </w:rPr>
                    <w:br/>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xml:space="preserve">Carr, H.Y.; Purcell, E.M. Effects of diffusion on free precession in nuclear magnetic resonance experiments. </w:t>
                  </w:r>
                  <w:r w:rsidRPr="001F5B5C">
                    <w:rPr>
                      <w:rFonts w:ascii="Times New Roman" w:eastAsia="Times New Roman" w:hAnsi="Times New Roman"/>
                      <w:i/>
                      <w:iCs/>
                      <w:sz w:val="20"/>
                      <w:szCs w:val="20"/>
                    </w:rPr>
                    <w:t>Phys Rev</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1954</w:t>
                  </w:r>
                  <w:r w:rsidRPr="001F5B5C">
                    <w:rPr>
                      <w:rFonts w:ascii="Times New Roman" w:eastAsia="Times New Roman" w:hAnsi="Times New Roman"/>
                      <w:sz w:val="20"/>
                      <w:szCs w:val="20"/>
                    </w:rPr>
                    <w:t>, 94, 630-38.</w:t>
                  </w:r>
                  <w:r w:rsidRPr="001F5B5C">
                    <w:rPr>
                      <w:rFonts w:ascii="Times New Roman" w:eastAsia="Times New Roman" w:hAnsi="Times New Roman"/>
                      <w:sz w:val="20"/>
                      <w:szCs w:val="20"/>
                    </w:rPr>
                    <w:br/>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xml:space="preserve">Giraudeau, P.; Frydman, L. Ultrafast 2D NMR: an emerging tool in analytical spectroscopy. </w:t>
                  </w:r>
                  <w:r w:rsidRPr="001F5B5C">
                    <w:rPr>
                      <w:rFonts w:ascii="Times New Roman" w:eastAsia="Times New Roman" w:hAnsi="Times New Roman"/>
                      <w:i/>
                      <w:iCs/>
                      <w:sz w:val="20"/>
                      <w:szCs w:val="20"/>
                    </w:rPr>
                    <w:t>Annu Rev Anal Chem</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2014</w:t>
                  </w:r>
                  <w:r w:rsidRPr="001F5B5C">
                    <w:rPr>
                      <w:rFonts w:ascii="Times New Roman" w:eastAsia="Times New Roman" w:hAnsi="Times New Roman"/>
                      <w:sz w:val="20"/>
                      <w:szCs w:val="20"/>
                    </w:rPr>
                    <w:t>, 7, 129-61.</w:t>
                  </w:r>
                  <w:r w:rsidRPr="001F5B5C">
                    <w:rPr>
                      <w:rFonts w:ascii="Times New Roman" w:eastAsia="Times New Roman" w:hAnsi="Times New Roman"/>
                      <w:sz w:val="20"/>
                      <w:szCs w:val="20"/>
                    </w:rPr>
                    <w:br/>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xml:space="preserve">Ahola, S.; Telkki, V. Ultrafast Two-Dimensional NMR Relaxometry for Investigating Molecular Processes in Real Time. </w:t>
                  </w:r>
                  <w:r w:rsidRPr="001F5B5C">
                    <w:rPr>
                      <w:rFonts w:ascii="Times New Roman" w:eastAsia="Times New Roman" w:hAnsi="Times New Roman"/>
                      <w:i/>
                      <w:iCs/>
                      <w:sz w:val="20"/>
                      <w:szCs w:val="20"/>
                    </w:rPr>
                    <w:t>ChemPhysChem</w:t>
                  </w:r>
                  <w:r w:rsidRPr="001F5B5C">
                    <w:rPr>
                      <w:rFonts w:ascii="Times New Roman" w:eastAsia="Times New Roman" w:hAnsi="Times New Roman"/>
                      <w:sz w:val="20"/>
                      <w:szCs w:val="20"/>
                    </w:rPr>
                    <w:t xml:space="preserve"> </w:t>
                  </w:r>
                  <w:r w:rsidRPr="001F5B5C">
                    <w:rPr>
                      <w:rFonts w:ascii="Times New Roman" w:eastAsia="Times New Roman" w:hAnsi="Times New Roman"/>
                      <w:b/>
                      <w:bCs/>
                      <w:sz w:val="20"/>
                      <w:szCs w:val="20"/>
                    </w:rPr>
                    <w:t>2014</w:t>
                  </w:r>
                  <w:r w:rsidRPr="001F5B5C">
                    <w:rPr>
                      <w:rFonts w:ascii="Times New Roman" w:eastAsia="Times New Roman" w:hAnsi="Times New Roman"/>
                      <w:sz w:val="20"/>
                      <w:szCs w:val="20"/>
                    </w:rPr>
                    <w:t>, 15, 1689-90.</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2364911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Rovibrational Analysis of Third Row Atom Hydroxides and Isomers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Mason Kitchens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mk03052@georgiasouthern.edu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Mason Kitchens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Ryan C. Fortenberry</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Georgia Southern University, Statesboro,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Molecules such as HSiO</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SiOH</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HPO, HOS</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HSO</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and other third row atoms may be interesting with regards to the chemistry of the interstellar medium (ISM). HPO and HOP are believed to form from a DC-glow discharge of PH</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CO</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and 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(D</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gas mixture. HPO is an intermediate in the oxidation of phosphine (PH</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which may allow for the formation of phosphoric acid (H</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PO</w:t>
                  </w:r>
                  <w:r w:rsidRPr="001F5B5C">
                    <w:rPr>
                      <w:rFonts w:ascii="Times New Roman" w:eastAsia="Times New Roman" w:hAnsi="Times New Roman"/>
                      <w:sz w:val="20"/>
                      <w:szCs w:val="20"/>
                      <w:vertAlign w:val="subscript"/>
                    </w:rPr>
                    <w:t>4</w:t>
                  </w:r>
                  <w:r w:rsidRPr="001F5B5C">
                    <w:rPr>
                      <w:rFonts w:ascii="Times New Roman" w:eastAsia="Times New Roman" w:hAnsi="Times New Roman"/>
                      <w:sz w:val="20"/>
                      <w:szCs w:val="20"/>
                    </w:rPr>
                    <w:t>) in planetary atmospheres. Additionally, HSiO</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and SiOH</w:t>
                  </w:r>
                  <w:proofErr w:type="gramStart"/>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w:t>
                  </w:r>
                  <w:proofErr w:type="gramEnd"/>
                  <w:r w:rsidRPr="001F5B5C">
                    <w:rPr>
                      <w:rFonts w:ascii="Times New Roman" w:eastAsia="Times New Roman" w:hAnsi="Times New Roman"/>
                      <w:sz w:val="20"/>
                      <w:szCs w:val="20"/>
                    </w:rPr>
                    <w:t xml:space="preserve"> may serve an important role in the Earth’s ionosphere allowing radio communication to distant locations due to the transference of signal through electronically charged atoms and molecules. Hence, SiOH</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and its other isomeric partner, HSiO</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are likely among the molecular species responsible for such radio proliferation. Studies have been made to elucidate the existence of these molecules in the gas phase by the use of neutralization-reionization mass spectrometry (NRMS). It has been proposed that Si</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reacts with 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O to create SiOH</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It also suggested that HOS</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/HSO</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xml:space="preserve"> are formed from an abstraction (a more common reaction) with an oxygen atom and the addition method (least common reaction) with H</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SO. Our computations of these species make use of quartic force fields and high-level coupled-cluster theory to derive spectroscopic constants and anharmonic vibrational frequencies in order to examine the possibility that HSiO</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SiOH</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HOP, and HPO may exist on our planet or even in the larger ISM. It has been shown that HOP is not suitable for rovibrational analysis due to its instability in its analyzed first singlet state. Astronomical observations and laboratory experiments of these and other molecules may further advance our understanding of the ISM and ionosphere but only if reference data is available. This work serves to provide this data for comparison.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2365562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Vapor liquid coexistence properties of hydrofluoromethanes using First Principles Monte Carlo simulations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Charles Butler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cbutler2003@gmail.com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Charles Butler</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Himanshu Goel</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Neeraj Rai</w:t>
                  </w:r>
                  <w:r w:rsidRPr="001F5B5C">
                    <w:rPr>
                      <w:rFonts w:ascii="Times New Roman" w:eastAsia="Times New Roman" w:hAnsi="Times New Roman"/>
                      <w:sz w:val="20"/>
                      <w:szCs w:val="20"/>
                      <w:vertAlign w:val="superscript"/>
                    </w:rPr>
                    <w:t>1, 2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Dave C. Swalm School of Chemical Engineering, Mississippi State University, Starkville, MS, United States. </w:t>
                  </w:r>
                  <w:r w:rsidRPr="001F5B5C">
                    <w:rPr>
                      <w:rFonts w:ascii="Times New Roman" w:eastAsia="Times New Roman" w:hAnsi="Times New Roman"/>
                      <w:sz w:val="20"/>
                      <w:szCs w:val="20"/>
                    </w:rPr>
                    <w:br/>
                    <w:t xml:space="preserve">2. Center for Advanced Vehicular Systems, Mississippi State University, Starkville,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br/>
                    <w:t>For the past 40 years chlorofluorocarbons (CFCs) have been banned in the United States as a result of their negative impact on the environment and the damage caused to the ozone layer. As a result, hydrofluorocarbons (HFCs) have been introduced as replacement for CFCs in the role of propellants, refrigerants, metered dose inhalers and various other uses. Understanding their structural and thermodynamic properties is critical to process design and development. To understand the saturation properties of fluoromethane, difluoromethane, and trifluoromethane, we’ve employed First Principle Monte Carlo (FPMC) simulations via the CP2K software suite. In order to accurately predict vapor liquid behavior of these compounds, it is important to account for the dispersion interactions. These dispersion forces arise due to the induced dipole-induced dipole interactions, and are critical in understanding the thermodynamic properties of HFCs. The traditional and widely used local and semilocal Kohn-Sham Density Functional Theory (KS DFT) does not accurately account for van der Waals forces. Here, we have examined the efficacy of different dispersion-corrected and nonlocal density functionals (PBE-D3, BLYP-D3, and rVV10), which are designed to capture dispersion interactions. Our simulations indicate that the PBE-D3 functional performs better than rVV10 for the saturated liquid densities. Additionally, all of the models drastically under predict the vapor density of the HFCs in our simulations, to the detriment of boiling point, critical pressure, and critical temperature predictions. Our simulations suggest that further refinements in the density functionals are necessary to accurately predict vapor liquid equilibria of hydrofluoromethanes.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3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2366105</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Preparation and characterization of a palladium catalyst on ceria support</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Jack Hovey | Kristopher Fitch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hovey_jack@columbusstate.edu | fitch_kristopher@columbusstate.edu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Jack Hovey</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Kristopher Fitch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Anil C. Banerjee</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Columbus State University, Columbus, GA,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Metal catalysts are most commonly used in catalytic converters to remove air pollutants. Recent efforts on the development of more efficient catalysts for carbon monoxide oxidation have been reported. The objective of this project is to develop a better catalyst for low temperature catalytic oxidation of carbon monoxide in the temperature range 25-100 </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C. A palladium catalyst on ceria support is prepared by slurry method technique, dried overnight and then calcined at 450 </w:t>
                  </w:r>
                  <w:r w:rsidRPr="001F5B5C">
                    <w:rPr>
                      <w:rFonts w:ascii="Times New Roman" w:eastAsia="Times New Roman" w:hAnsi="Times New Roman"/>
                      <w:sz w:val="20"/>
                      <w:szCs w:val="20"/>
                      <w:vertAlign w:val="superscript"/>
                    </w:rPr>
                    <w:t>0</w:t>
                  </w:r>
                  <w:r w:rsidRPr="001F5B5C">
                    <w:rPr>
                      <w:rFonts w:ascii="Times New Roman" w:eastAsia="Times New Roman" w:hAnsi="Times New Roman"/>
                      <w:sz w:val="20"/>
                      <w:szCs w:val="20"/>
                    </w:rPr>
                    <w:t xml:space="preserve">C. The catalyst is characterized by </w:t>
                  </w:r>
                  <w:proofErr w:type="gramStart"/>
                  <w:r w:rsidRPr="001F5B5C">
                    <w:rPr>
                      <w:rFonts w:ascii="Times New Roman" w:eastAsia="Times New Roman" w:hAnsi="Times New Roman"/>
                      <w:sz w:val="20"/>
                      <w:szCs w:val="20"/>
                    </w:rPr>
                    <w:t>a Pulse</w:t>
                  </w:r>
                  <w:proofErr w:type="gramEnd"/>
                  <w:r w:rsidRPr="001F5B5C">
                    <w:rPr>
                      <w:rFonts w:ascii="Times New Roman" w:eastAsia="Times New Roman" w:hAnsi="Times New Roman"/>
                      <w:sz w:val="20"/>
                      <w:szCs w:val="20"/>
                    </w:rPr>
                    <w:t xml:space="preserve"> Chemisorb equipment (Micrometrics) with oxygen gas as the adsorbate. Pulse chemisorption data is used to calculate total surface area, percent dispersion, and average crystallite size. The results of this undergraduate research will be presented.</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2366523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Construction of p-type heterojunction CuO|CuBi2O4 nanowires for photochemical reduction of aqueous protons as sustainable source of energy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Kieran Bhattacharya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krbhattacharya@crimson.ua.edu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Kieran Bhattacharya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Qamar Tejani</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The University of Alabama, Tuscaloosa, AL, United States. </w:t>
                  </w:r>
                  <w:r w:rsidRPr="001F5B5C">
                    <w:rPr>
                      <w:rFonts w:ascii="Times New Roman" w:eastAsia="Times New Roman" w:hAnsi="Times New Roman"/>
                      <w:sz w:val="20"/>
                      <w:szCs w:val="20"/>
                    </w:rPr>
                    <w:br/>
                    <w:t xml:space="preserve">2. </w:t>
                  </w:r>
                  <w:proofErr w:type="gramStart"/>
                  <w:r w:rsidRPr="001F5B5C">
                    <w:rPr>
                      <w:rFonts w:ascii="Times New Roman" w:eastAsia="Times New Roman" w:hAnsi="Times New Roman"/>
                      <w:sz w:val="20"/>
                      <w:szCs w:val="20"/>
                    </w:rPr>
                    <w:t>chemistry</w:t>
                  </w:r>
                  <w:proofErr w:type="gramEnd"/>
                  <w:r w:rsidRPr="001F5B5C">
                    <w:rPr>
                      <w:rFonts w:ascii="Times New Roman" w:eastAsia="Times New Roman" w:hAnsi="Times New Roman"/>
                      <w:sz w:val="20"/>
                      <w:szCs w:val="20"/>
                    </w:rPr>
                    <w:t xml:space="preserve">, the university of alabama, Tuscaloosa, AL,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For over a decade, copper oxides (CuO and Cu2O) have been utilized as p-type semi-conductor oxides for solar water splitting. Very recently, an FTO CuO|CuBi2O4|Pt electrode was produced, which yielded a significantly improved photocurrent compared to the FTO CuO|Pt or FTO CuBi2O4|Pt electrodes alone. While the original photoelectrode was formed on FTO slides using the dropcast method, the parameters of this research also included application by spin-coating and on ITO slides. Moreover, concentrations and layers on slides were varied to observe differences in morphology and photocurrent efficiency. Ultimately, ITO and FTO electrodes showed similar efficiency, with photocurrency decreasing with additional layering.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2366639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Molecular electronics: Using computational chemistry to design devices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Sam King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sam.king@live.longwood.edu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Sam King</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Benjamin Topham</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and Physics, Longwood University, Farmville,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field of molecular electronics has received much attention in recent years. This has led to much progress in the fabrication of molecular devices, but the viable production of efficient devices has not yet been established and a complete theoretical understanding is still being pursued. We have undertaken a computational study of molecular devices to better understand how key chemical properties govern device function. We have used a Landauer-based scattering approach with self-consistent non-equilibrium Green’s function formalism to calculate electron transmission through single molecule devices. We have studied the effects of molecule length, linking groups, and geometry using representative molecules in an effort to determine how to optimally design efficient molecular devices and control device function through chemical modification.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2367229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Molecular Rotors: An investigation of Planar Boron Clusters as Wankel Motors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Stefan Kourdov</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stefan.kourdov@richmond.edu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Stefan S. Kourdov</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Kelling J. Donald</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Richmond, Richmond,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Molecular machines have become a very intriguing area of research in chemistry and material science. In the past few years, our group and others have become interested in understanding the mechanical and thermodynamic properties of boron clusters. The planar geometry is preferred for small to medium sized boron clusters (B</w:t>
                  </w:r>
                  <w:r w:rsidRPr="001F5B5C">
                    <w:rPr>
                      <w:rFonts w:ascii="Times New Roman" w:eastAsia="Times New Roman" w:hAnsi="Times New Roman"/>
                      <w:sz w:val="20"/>
                      <w:szCs w:val="20"/>
                      <w:vertAlign w:val="subscript"/>
                    </w:rPr>
                    <w:t>n</w:t>
                  </w:r>
                  <w:r w:rsidRPr="001F5B5C">
                    <w:rPr>
                      <w:rFonts w:ascii="Times New Roman" w:eastAsia="Times New Roman" w:hAnsi="Times New Roman"/>
                      <w:sz w:val="20"/>
                      <w:szCs w:val="20"/>
                    </w:rPr>
                    <w:t>) and it has been shown that the clusters tend to form concentric rings. For certain n values the inner ring rotates with extremely low rotational barriers relative to the outer ring. It has been proposed that the use of electric fields may allow for the controlled unidirectional rotation of one of the rings relative to the other. We investigate in this work the thermodynamics of the rotation of the rings relative to each other in B</w:t>
                  </w:r>
                  <w:r w:rsidRPr="001F5B5C">
                    <w:rPr>
                      <w:rFonts w:ascii="Times New Roman" w:eastAsia="Times New Roman" w:hAnsi="Times New Roman"/>
                      <w:sz w:val="20"/>
                      <w:szCs w:val="20"/>
                      <w:vertAlign w:val="subscript"/>
                    </w:rPr>
                    <w:t>19</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 We have been especially interested in understanding how the rotational patterns depend on temperature, and in developing a detailed understanding of the dynamics of the bonding as the rings rotate relative to each other. The lessons learned from this system are to be applied to other novel proposals for molecular Wankel motors based on the bonding motif observed for boron clusters.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2367414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Conventional strain energies of thiaziridine and the thiazetidines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David Magers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magers@mc.edu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Joshua Gramm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Shelley A.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H. Magers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Biochemistry, Mississippi Colg,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conventional strain energies for thiaziridine, 1</w:t>
                  </w:r>
                  <w:proofErr w:type="gramStart"/>
                  <w:r w:rsidRPr="001F5B5C">
                    <w:rPr>
                      <w:rFonts w:ascii="Times New Roman" w:eastAsia="Times New Roman" w:hAnsi="Times New Roman"/>
                      <w:sz w:val="20"/>
                      <w:szCs w:val="20"/>
                    </w:rPr>
                    <w:t>,2</w:t>
                  </w:r>
                  <w:proofErr w:type="gramEnd"/>
                  <w:r w:rsidRPr="001F5B5C">
                    <w:rPr>
                      <w:rFonts w:ascii="Times New Roman" w:eastAsia="Times New Roman" w:hAnsi="Times New Roman"/>
                      <w:sz w:val="20"/>
                      <w:szCs w:val="20"/>
                    </w:rPr>
                    <w:t>-thiazetidine, and 1,3-thiazetidine are determined within the isodesmic, homodesmotic, and hyperhomodesmotic models to investigate the effect of third-row elements on the strain energies of three- and four-membered rings. Optimum equilibrium geometries, harmonic vibrational frequencies, and corresponding electronic energies are computed for all pertinent molecular systems using self-consistent field (SCF) theory, second-order perturbation theory (MP2), and density functional theory (DFT). The DFT functionals employed are Becke’s three-parameter hybrid functional using the LYP correlation functional and the M06-2X high nonlocality hybrid functional from Thular and Zhao. The basis sets employed are Dunning and coworkers’ correlation consistent basis sets: cc-pVDZ, cc-pVTZ, and cc-pVQZ. In addition, cc-</w:t>
                  </w:r>
                  <w:proofErr w:type="gramStart"/>
                  <w:r w:rsidRPr="001F5B5C">
                    <w:rPr>
                      <w:rFonts w:ascii="Times New Roman" w:eastAsia="Times New Roman" w:hAnsi="Times New Roman"/>
                      <w:sz w:val="20"/>
                      <w:szCs w:val="20"/>
                    </w:rPr>
                    <w:t>pV(</w:t>
                  </w:r>
                  <w:proofErr w:type="gramEnd"/>
                  <w:r w:rsidRPr="001F5B5C">
                    <w:rPr>
                      <w:rFonts w:ascii="Times New Roman" w:eastAsia="Times New Roman" w:hAnsi="Times New Roman"/>
                      <w:sz w:val="20"/>
                      <w:szCs w:val="20"/>
                    </w:rPr>
                    <w:t>D+d)Z, cc-pV(T+d)Z, and cc-pV(Q+d)Z basis sets are also investigated to determine the effect of the extra d function for sulfur on the overall results. Results are compared to the conventional strain energies of small cyclic hydrocarbons and to other heterocyclic systems. We gratefully acknowledge support from the NSF (EPS-0903787) and from the Mississippi College Catalysts, the alumni support group of the Department of Chemistry &amp; Biochemistry.</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2367419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Influence of Organic Substituents on the Stability of Dative Bonding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Ezana Befekadu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ezana.befekadu@richmond.edu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Ezana Befekadu</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Kelling J. Donald</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University of Richmond, Richmond, VA, United States. </w:t>
                  </w:r>
                  <w:r w:rsidRPr="001F5B5C">
                    <w:rPr>
                      <w:rFonts w:ascii="Times New Roman" w:eastAsia="Times New Roman" w:hAnsi="Times New Roman"/>
                      <w:sz w:val="20"/>
                      <w:szCs w:val="20"/>
                    </w:rPr>
                    <w:br/>
                    <w:t xml:space="preserve">2. Chemistry, University of Richmond, Richmond,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stability of bonding interactions between MFH</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xml:space="preserve"> molecules and borylene species (R--B), where M = Ge, Si, and C, is investigated. If these interactions are stable enough, proton transfer will not occur. Borylene is by no means a particularly stable species, we noticed, however, that under some conditions depending on the identity of the R substituent the H transfer does not occur and a dative bond (or weak sigma hole interaction) between the monovalent B—R and the M center. The energy barrier going from the monovalent to the trivalent B substituent is examined and discussed for a range of electron withdrawing and donating R substituents. For M group elements such as Silicon, proton transfer occurred more often, which may be explained by the low electronegativity of Silicon and the weakness of the Si---H bond. The reverse appears to be the case for Carbon.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2367424</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Conventional strain energy in ketene acetals and ketene aminals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David Magers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magers@mc.edu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Sarah G. Travis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Shelley A. Smith</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H. Magers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Biochemistry, Mississippi Colg, Clinton, MS,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Cyclic ketene acetals and ketene aminals belong to a class of organic molecules characterized by a nucleophilic exo-methylene carbon attached to a carbon with two adjacent highly electronegative atoms. In the case of ketene acetals these two atoms are oxygen, and in ketene aminals these are nitrogen. Such systems have been shown to react with a large number of mono- and dielectrophiles to yield a rich variety of organic reactions including tandem cyclizations, arylvinyl ester formation, new heterocyclic ring and fused ring formation, ring-retained polymerizations, and stereoselective radical cyclizations. Since the stability of the ring of these ketene acetals and aminals are important in these reactions, the conventional strain energies for representative systems are determined within the isodesmic, homodesmotic, and hyperhomodesmotic models to investigate the role the external double bond plays in the ring strain of these heterocyclic systems. Specifically, the conventional strain energies of 2-methylene-[1,3]dioxetane, 2-methylene-[1,3]diazetidine, 2-methylene-[1,3]dioxolane, and 2-methylene-imidazolidine are compared to those of [1,3]dioxetane, [1,3]diazetidine, [1,3]dioxolane, and imidazolidine . Optimum equilibrium geometries, harmonic vibrational frequencies, and corresponding electronic energies are computed for all pertinent molecular systems using SCF theory, second-order perturbation theory (MP2), and density functional theory (DFT). The DFT functionals employed are Becke’s three-parameter hybrid functional using the LYP correlation functional and the M06-2X high nonlocality hybrid functional from Thular and Zhao. The basis sets employed are Dunning and coworkers’ correlation consistent basis sets: cc-pVDZ, cc-pVTZ, and cc-pVQZ. We gratefully acknowledge support from the NSF (EPS-0903787) and from the Mississippi College Catalysts, the alumni support group of the Department of Chemistry &amp; Biochemistry.</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2367739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Monitoring the development of intermolecular networks during the curing of coatings using single-sided NMR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Frankie Morin</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fjmorin@email.wm.edu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Frankie Morin</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Tyler K. Meldrum</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 Department, The College of William and Mary, Williamsburg,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We are using NMR in an inhomogeneous field in order to track local orientation or order in molecular networks in industrial and fine art coatings. Coatings show a change in cross-linking as the curing process occurs. We use a single-sided magnet to explore how molecular interactions affect nuclear relaxation times as spins realign with the magnetic field and the curing effect on residual dipolar couplings. Residual dipolar couplings are a measure of the interaction between two nuclei and their orientation with respect to the applied magnetic field; these couplings are indicative of intermolecular networks[i].</w:t>
                  </w:r>
                  <w:r w:rsidRPr="001F5B5C">
                    <w:rPr>
                      <w:rFonts w:ascii="Times New Roman" w:eastAsia="Times New Roman" w:hAnsi="Times New Roman"/>
                      <w:sz w:val="20"/>
                      <w:szCs w:val="20"/>
                    </w:rPr>
                    <w:br/>
                    <w:t>By taking the relaxation and residual dipolar coupling measurements at the beginning of the curing, and then regularly repeated at time intervals throughout the curing process we track the changes in the intermolecular network. These measurements help determine degree of order of the local orientation in the intermolecular network to establish how depth, thickness of coating, and paint and coating age alter the molecular interactions in the coating. This data compared to information known about both the kinetics of the curing reactions of coatings and the properties of the cured coatings gives a more cohesive picture of the intermolecular networks in coatings.</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[i] Wiesmath, A., Filip, C., Demco, D. E., &amp; Blümich, B. (2002). NMR of multipolar spin states excited in strongly inhomogeneous magnetic fields. </w:t>
                  </w:r>
                  <w:r w:rsidRPr="001F5B5C">
                    <w:rPr>
                      <w:rFonts w:ascii="Times New Roman" w:eastAsia="Times New Roman" w:hAnsi="Times New Roman"/>
                      <w:i/>
                      <w:iCs/>
                      <w:sz w:val="20"/>
                      <w:szCs w:val="20"/>
                    </w:rPr>
                    <w:t>Journal of Magnetic Resonance (San Diego, Calif. : 1997)</w:t>
                  </w:r>
                  <w:r w:rsidRPr="001F5B5C">
                    <w:rPr>
                      <w:rFonts w:ascii="Times New Roman" w:eastAsia="Times New Roman" w:hAnsi="Times New Roman"/>
                      <w:sz w:val="20"/>
                      <w:szCs w:val="20"/>
                    </w:rPr>
                    <w:t xml:space="preserve">, </w:t>
                  </w:r>
                  <w:r w:rsidRPr="001F5B5C">
                    <w:rPr>
                      <w:rFonts w:ascii="Times New Roman" w:eastAsia="Times New Roman" w:hAnsi="Times New Roman"/>
                      <w:i/>
                      <w:iCs/>
                      <w:sz w:val="20"/>
                      <w:szCs w:val="20"/>
                    </w:rPr>
                    <w:t>154</w:t>
                  </w:r>
                  <w:r w:rsidRPr="001F5B5C">
                    <w:rPr>
                      <w:rFonts w:ascii="Times New Roman" w:eastAsia="Times New Roman" w:hAnsi="Times New Roman"/>
                      <w:sz w:val="20"/>
                      <w:szCs w:val="20"/>
                    </w:rPr>
                    <w:t>(1), 60–72. doi:10.1006/jmre.2001.2458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2367966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Polarizing Substituents Dictate the Relative Energies of Weak (Halogen-Bonding) Interactions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Janak Jaini</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janak.jaini@gmail.com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Janak Jaini</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Kelling J. Donald</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Richmond, Mechanicsville,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Halogen bonds (R3MX---Y) are sensitive to changes in the chemical environments of the Lewis acid. Some of these factors have been formerly studied by our group and others, including the identity of the M center to which X is bonded. So we know, for example, that sigma holes can be tuned. But, the effect of different covalently bonded polarizing substituents (R), such as halides or sigma donors such as methyl groups on the interatomic separations and the interaction energies of bonds by a given halogen atom (X) to a nearby base (Y) is still not completely understood. In this study, the M062X density function method has been utilized to determine the interaction energies and halogen bond distances for pairs of species in which the H substituents are systematically replaced by the far more polarizing F atom. The systems of interest are MH</w:t>
                  </w:r>
                  <w:r w:rsidRPr="001F5B5C">
                    <w:rPr>
                      <w:rFonts w:ascii="Times New Roman" w:eastAsia="Times New Roman" w:hAnsi="Times New Roman"/>
                      <w:sz w:val="20"/>
                      <w:szCs w:val="20"/>
                      <w:vertAlign w:val="subscript"/>
                    </w:rPr>
                    <w:t>3-n</w:t>
                  </w:r>
                  <w:r w:rsidRPr="001F5B5C">
                    <w:rPr>
                      <w:rFonts w:ascii="Times New Roman" w:eastAsia="Times New Roman" w:hAnsi="Times New Roman"/>
                      <w:sz w:val="20"/>
                      <w:szCs w:val="20"/>
                    </w:rPr>
                    <w:t>F</w:t>
                  </w:r>
                  <w:r w:rsidRPr="001F5B5C">
                    <w:rPr>
                      <w:rFonts w:ascii="Times New Roman" w:eastAsia="Times New Roman" w:hAnsi="Times New Roman"/>
                      <w:sz w:val="20"/>
                      <w:szCs w:val="20"/>
                      <w:vertAlign w:val="subscript"/>
                    </w:rPr>
                    <w:t>n</w:t>
                  </w:r>
                  <w:r w:rsidRPr="001F5B5C">
                    <w:rPr>
                      <w:rFonts w:ascii="Times New Roman" w:eastAsia="Times New Roman" w:hAnsi="Times New Roman"/>
                      <w:sz w:val="20"/>
                      <w:szCs w:val="20"/>
                    </w:rPr>
                    <w:t>I-NH</w:t>
                  </w:r>
                  <w:r w:rsidRPr="001F5B5C">
                    <w:rPr>
                      <w:rFonts w:ascii="Times New Roman" w:eastAsia="Times New Roman" w:hAnsi="Times New Roman"/>
                      <w:sz w:val="20"/>
                      <w:szCs w:val="20"/>
                      <w:vertAlign w:val="subscript"/>
                    </w:rPr>
                    <w:t>3</w:t>
                  </w:r>
                  <w:r w:rsidRPr="001F5B5C">
                    <w:rPr>
                      <w:rFonts w:ascii="Times New Roman" w:eastAsia="Times New Roman" w:hAnsi="Times New Roman"/>
                      <w:sz w:val="20"/>
                      <w:szCs w:val="20"/>
                    </w:rPr>
                    <w:t>, where M = C, Ge, Pb, Sn and Si. The influence of the fluorine substituents on the sigma hole of iodine is assessed.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2368073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Mixed Self-Assembled Monolayers of Alkanethiols and their Formation on Gold Substrates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Stuart Graham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stuart.graham2831@furman.edu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Stuart Graham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Marion R. Martin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Alkanethiols self-assemble into a one-molecule-thick film on Au substrates called self-assembled monolayers (SAMs). Mixed SAMs, monolayers containing two or more compounds, are formed when multiple alkanethiols are dissolved in a single solution. Mixed SAMs could be immensely helpful in molecular recognition or nanofabrication where certain areas of the monolayer must be unique from the rest. Mixed SAMs of octadecanethiol (ODT) and 16-mercaptohexadecanoic acid (MHA) were formed on gold slides. Monolayer ordering and surface wettability were investigated using a polarization modulation-infrared reflection-absorption spectrometer (PM-IRRAS) and an optical tensiometer respectively. Mixed monolayers of ODT and MHA were formed from single solutions containing concentrations of the two in the ratios 1:3, 1:1, and 3:1. Pure SAMs of ODT and MHA were grown as references. The chemical composition of the monolayers was calculated using Cassie’s equation applied to water droplet contact angles. Ordering of the monolayer was determined using the peak locations in the C-H stretching region of the PM-IRRAS spectra. The monolayers higher in ODT concentration produced more ordered and hydrophobic films than their MHA-dominant counterparts. Some work was done to make well-ordered pure MHA monolayers but was largely unsuccessful. Mixed monolayers of ODT and 11-ferrocenyl-undecanethiol were also briefly explored using the same instrumentation. In the future, the lab plans to characterize these monolayers using cyclic voltammetry.</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49"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2368079</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Characterizing mixed Self-Assembled Monolayers of Dodecanethiol and 11-Mercapto-undecanol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Alexis Glover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alexis.glover2@furman.edu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Alexis Glover</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Marion R. Martin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Furman University, Greenville,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Self-assembled monolayers (SAMs) are the arrangements of molecules or atoms adsorbed onto solid surfaces. SAMs are composed of three groups: the head group binds covalently to the gold substrate, the alkane-chain stabilizes the monolayer, and the tail group determines the SAM chemistry. The particular goal of this study was to characterize mixed SAMs by two methods: varying the concentrations in a single solution and varying the deposition time in two separate solutions. Cassie’s Equation was used to determine the composition of the film. Both 11-mercapto-1-undecanol (11-MUD) and dodecanethiol (DDT) were used to coat the gold slide. Solutions of varying concentrations were made with the following ratios: 3:1, 1:1, 1:3. Films were also grown with pure 11-MUD and DDT as references. In the second growth method, deposition time and order were tested in 1mM of 11-MUD and DDT with five ratios of time: 3:1 MUD: DDT, 1:3 MUD: DDT, 2:2 MUD: DDT, 3:1 DDT: MUD, and 1:3 DDT: MUD. The SAMs were analyzed using polarization modulation infrared reflection absorption spectroscopy (PM-IRRAS.) PM-IRRAS evaluations focused on the peak intensities and the positions of the aliphatic C-H asymmetric and symmetric stretching vibrations. Surface wettability was studied using an optical tensiometer, indicating whether the film was hydrophobic or hydrophilic. Results show that, when decreasing the concentrations of DDT, the methyl symmetric peak intensities also decreased, which corresponds with the contact angle data, where the contact angle also decreased. Also, results show that the solution that the Au substrate is placed in first will be more prevalent in the monolayer, showing that varying the deposition time and order is not the most effective way to form a mixed monolayer. Furthermore, mixed SAMs of 11-MUD and DDT can be grown reproducibly.</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0"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2368348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Computational Studies of the binding of quinoline-based ligands to Plasmepsin IV</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Anthony Ewurum</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aewurum@ius.edu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Anthony Ewurum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Victor F. Waingeh</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Indiana University Southeast, New Albany, IN,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The malaria parasite, Plasmodium, is known to harbor aspartic acid proteases known as plasmepsins which are responsible for the degradation of hemoglobin in human red blood cells. These parasites, the most virulent of which is the falciparum species, derive nutrients from the human host through this degradation process. In this study, molecular docking and molecular dynamics simulations were used to investigate the binding of quinoline-based antimalarial drugs (chloroquine, amodiaquine, mefloquine, and quinine) to plasmepsin IV, as a way of gaining insight into whether the inhibition of hemoglobin degradation is a potential mechanism for antimalarial activity. Docking identified two predominant binding sites for the ligands on plasmepsin IV. The more favorable binding site was located in a pocket at the interphase between the two subunits of the plasmepsin dimer. The ligands bound to this site with average binding energies ranging </w:t>
                  </w:r>
                  <w:proofErr w:type="gramStart"/>
                  <w:r w:rsidRPr="001F5B5C">
                    <w:rPr>
                      <w:rFonts w:ascii="Times New Roman" w:eastAsia="Times New Roman" w:hAnsi="Times New Roman"/>
                      <w:sz w:val="20"/>
                      <w:szCs w:val="20"/>
                    </w:rPr>
                    <w:t>from –6.45 kcal/mol</w:t>
                  </w:r>
                  <w:proofErr w:type="gramEnd"/>
                  <w:r w:rsidRPr="001F5B5C">
                    <w:rPr>
                      <w:rFonts w:ascii="Times New Roman" w:eastAsia="Times New Roman" w:hAnsi="Times New Roman"/>
                      <w:sz w:val="20"/>
                      <w:szCs w:val="20"/>
                    </w:rPr>
                    <w:t xml:space="preserve"> to -4.77 kcal/mol. The second site, located in a groove on one of the subunits had average binding energies ranging </w:t>
                  </w:r>
                  <w:proofErr w:type="gramStart"/>
                  <w:r w:rsidRPr="001F5B5C">
                    <w:rPr>
                      <w:rFonts w:ascii="Times New Roman" w:eastAsia="Times New Roman" w:hAnsi="Times New Roman"/>
                      <w:sz w:val="20"/>
                      <w:szCs w:val="20"/>
                    </w:rPr>
                    <w:t>from -5.96 kcal/mol</w:t>
                  </w:r>
                  <w:proofErr w:type="gramEnd"/>
                  <w:r w:rsidRPr="001F5B5C">
                    <w:rPr>
                      <w:rFonts w:ascii="Times New Roman" w:eastAsia="Times New Roman" w:hAnsi="Times New Roman"/>
                      <w:sz w:val="20"/>
                      <w:szCs w:val="20"/>
                    </w:rPr>
                    <w:t xml:space="preserve"> to -4.52 kcal/mol. The most favorable binding modes for each ligand in the identified binding sites were also determined.</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1"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2368378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The Impact of Soot Morphology and Mixing State on Particle Optical Properties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Elyse Eckl</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eeckl@una.edu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Elyse N. Eckl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Chong Qiu</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Alexei Khalizov</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Chemistry&amp;Industrial Hygiene, University of North Alabama, Florence, AL, United States. </w:t>
                  </w:r>
                  <w:r w:rsidRPr="001F5B5C">
                    <w:rPr>
                      <w:rFonts w:ascii="Times New Roman" w:eastAsia="Times New Roman" w:hAnsi="Times New Roman"/>
                      <w:sz w:val="20"/>
                      <w:szCs w:val="20"/>
                    </w:rPr>
                    <w:br/>
                    <w:t xml:space="preserve">2. Chemistry and Environmental Science, New Jersey Institute of Technology, Newark, NJ,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 xml:space="preserve">Soot particles are complicated both chemically and morphologically. Fresh soot from incomplete combustion has variable amounts of elemental carbon (EC) and organic carbon (OC) depending on the combustion conditions; and the particles can be spherical or fractal depending on the relative EC/OC ratios. Once generated from the source, the change in mixing state of soot can have significant impacts on soot properties. This study is exploring the relationship between the mixing state, morphology, and optical properties of atmospheric soot. Models based on Mie theory and Discrete-Dipole Approximation </w:t>
                  </w:r>
                  <w:proofErr w:type="gramStart"/>
                  <w:r w:rsidRPr="001F5B5C">
                    <w:rPr>
                      <w:rFonts w:ascii="Times New Roman" w:eastAsia="Times New Roman" w:hAnsi="Times New Roman"/>
                      <w:sz w:val="20"/>
                      <w:szCs w:val="20"/>
                    </w:rPr>
                    <w:t>are</w:t>
                  </w:r>
                  <w:proofErr w:type="gramEnd"/>
                  <w:r w:rsidRPr="001F5B5C">
                    <w:rPr>
                      <w:rFonts w:ascii="Times New Roman" w:eastAsia="Times New Roman" w:hAnsi="Times New Roman"/>
                      <w:sz w:val="20"/>
                      <w:szCs w:val="20"/>
                    </w:rPr>
                    <w:t xml:space="preserve"> used to simulate the light scattering property of soot particles with variable mixing states and morphological characteristics. The outcome of our study will contribute to the reconciliation between computational results and experimentally measured optical properties, and facilitate our understanding on the direct radiative forcing by soot aerosol in the atmosphere.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2"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2368546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Charge Transfer Interactions of Cyanoaromatic Singlet and Benzophenone Triplet States with Sulfur Compounds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Paritosh Das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pdas@cameron.edu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Hunter Wurtz</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Paritosh K. Das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Cameron Univ, Lawton, OK, United States. </w:t>
                  </w:r>
                  <w:r w:rsidRPr="001F5B5C">
                    <w:rPr>
                      <w:rFonts w:ascii="Times New Roman" w:eastAsia="Times New Roman" w:hAnsi="Times New Roman"/>
                      <w:sz w:val="20"/>
                      <w:szCs w:val="20"/>
                    </w:rPr>
                    <w:br/>
                    <w:t xml:space="preserve">2. Department of Chemistry, Physics, and Engineering, Cameron University, Bartlesville,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Based on steady-state fluorescence quenching studies and nanosecond laser flash photolysis, we have investigated the charge transfer interactions of the lowest singlet excited states of three cyanoaromatic systems (acceptors) with several organic thiols, disulfides, and sulfides (ground-state donors) in acetonitrile at room temperature. The fluorescence quenching rate constants were mostly in the limit of diffusion control. Only in the case of one thiol quencher (for 1</w:t>
                  </w:r>
                  <w:proofErr w:type="gramStart"/>
                  <w:r w:rsidRPr="001F5B5C">
                    <w:rPr>
                      <w:rFonts w:ascii="Times New Roman" w:eastAsia="Times New Roman" w:hAnsi="Times New Roman"/>
                      <w:sz w:val="20"/>
                      <w:szCs w:val="20"/>
                    </w:rPr>
                    <w:t>,4</w:t>
                  </w:r>
                  <w:proofErr w:type="gramEnd"/>
                  <w:r w:rsidRPr="001F5B5C">
                    <w:rPr>
                      <w:rFonts w:ascii="Times New Roman" w:eastAsia="Times New Roman" w:hAnsi="Times New Roman"/>
                      <w:sz w:val="20"/>
                      <w:szCs w:val="20"/>
                    </w:rPr>
                    <w:t>-dicyanonaphthalene), laser flash photolysis revealed a high yield (</w:t>
                  </w:r>
                  <w:r w:rsidRPr="001F5B5C">
                    <w:rPr>
                      <w:rFonts w:ascii="Times New Roman" w:eastAsia="Times New Roman" w:hAnsi="Times New Roman"/>
                      <w:i/>
                      <w:iCs/>
                      <w:sz w:val="20"/>
                      <w:szCs w:val="20"/>
                    </w:rPr>
                    <w:t>Φ</w:t>
                  </w:r>
                  <w:r w:rsidRPr="001F5B5C">
                    <w:rPr>
                      <w:rFonts w:ascii="Times New Roman" w:eastAsia="Times New Roman" w:hAnsi="Times New Roman"/>
                      <w:sz w:val="20"/>
                      <w:szCs w:val="20"/>
                      <w:vertAlign w:val="subscript"/>
                    </w:rPr>
                    <w:t>et</w:t>
                  </w:r>
                  <w:r w:rsidRPr="001F5B5C">
                    <w:rPr>
                      <w:rFonts w:ascii="Times New Roman" w:eastAsia="Times New Roman" w:hAnsi="Times New Roman"/>
                      <w:sz w:val="20"/>
                      <w:szCs w:val="20"/>
                    </w:rPr>
                    <w:t xml:space="preserve">) of electron-transfer-derived products. With other sulfur compounds, </w:t>
                  </w:r>
                  <w:proofErr w:type="gramStart"/>
                  <w:r w:rsidRPr="001F5B5C">
                    <w:rPr>
                      <w:rFonts w:ascii="Times New Roman" w:eastAsia="Times New Roman" w:hAnsi="Times New Roman"/>
                      <w:i/>
                      <w:iCs/>
                      <w:sz w:val="20"/>
                      <w:szCs w:val="20"/>
                    </w:rPr>
                    <w:t>Φ</w:t>
                  </w:r>
                  <w:r w:rsidRPr="001F5B5C">
                    <w:rPr>
                      <w:rFonts w:ascii="Times New Roman" w:eastAsia="Times New Roman" w:hAnsi="Times New Roman"/>
                      <w:sz w:val="20"/>
                      <w:szCs w:val="20"/>
                      <w:vertAlign w:val="subscript"/>
                    </w:rPr>
                    <w:t>et</w:t>
                  </w:r>
                  <w:r w:rsidRPr="001F5B5C">
                    <w:rPr>
                      <w:rFonts w:ascii="Times New Roman" w:eastAsia="Times New Roman" w:hAnsi="Times New Roman"/>
                      <w:sz w:val="20"/>
                      <w:szCs w:val="20"/>
                    </w:rPr>
                    <w:t>’s</w:t>
                  </w:r>
                  <w:proofErr w:type="gramEnd"/>
                  <w:r w:rsidRPr="001F5B5C">
                    <w:rPr>
                      <w:rFonts w:ascii="Times New Roman" w:eastAsia="Times New Roman" w:hAnsi="Times New Roman"/>
                      <w:sz w:val="20"/>
                      <w:szCs w:val="20"/>
                    </w:rPr>
                    <w:t xml:space="preserve"> were very small or negligible. The sulfur compounds efficiently quenched benzophenone triplet with rate constants in the vicinity of 10</w:t>
                  </w:r>
                  <w:r w:rsidRPr="001F5B5C">
                    <w:rPr>
                      <w:rFonts w:ascii="Times New Roman" w:eastAsia="Times New Roman" w:hAnsi="Times New Roman"/>
                      <w:sz w:val="20"/>
                      <w:szCs w:val="20"/>
                      <w:vertAlign w:val="superscript"/>
                    </w:rPr>
                    <w:t>8</w:t>
                  </w:r>
                  <w:r w:rsidRPr="001F5B5C">
                    <w:rPr>
                      <w:rFonts w:ascii="Times New Roman" w:eastAsia="Times New Roman" w:hAnsi="Times New Roman"/>
                      <w:sz w:val="20"/>
                      <w:szCs w:val="20"/>
                    </w:rPr>
                    <w:t xml:space="preserve"> M</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xml:space="preserve"> (in acetonitrile). The </w:t>
                  </w:r>
                  <w:r w:rsidRPr="001F5B5C">
                    <w:rPr>
                      <w:rFonts w:ascii="Times New Roman" w:eastAsia="Times New Roman" w:hAnsi="Times New Roman"/>
                      <w:i/>
                      <w:iCs/>
                      <w:sz w:val="20"/>
                      <w:szCs w:val="20"/>
                    </w:rPr>
                    <w:t>Φ</w:t>
                  </w:r>
                  <w:r w:rsidRPr="001F5B5C">
                    <w:rPr>
                      <w:rFonts w:ascii="Times New Roman" w:eastAsia="Times New Roman" w:hAnsi="Times New Roman"/>
                      <w:sz w:val="20"/>
                      <w:szCs w:val="20"/>
                      <w:vertAlign w:val="subscript"/>
                    </w:rPr>
                    <w:t>et</w:t>
                  </w:r>
                  <w:r w:rsidRPr="001F5B5C">
                    <w:rPr>
                      <w:rFonts w:ascii="Times New Roman" w:eastAsia="Times New Roman" w:hAnsi="Times New Roman"/>
                      <w:sz w:val="20"/>
                      <w:szCs w:val="20"/>
                    </w:rPr>
                    <w:t>’s from the ketone triplet quenching were small (&lt;10%) with all of the sulfur compounds studied as quenchers.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resubmitted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3"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2368596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Quenching of Cyanoaromatics Fluorescence and Aromatic Carbonyl Triplets by Model Sulfur Compounds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Hunter Wurtz</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hunter.wurtz@cameron.edu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Hunter Wurtz</w:t>
                  </w:r>
                  <w:r w:rsidRPr="001F5B5C">
                    <w:rPr>
                      <w:rFonts w:ascii="Times New Roman" w:eastAsia="Times New Roman" w:hAnsi="Times New Roman"/>
                      <w:sz w:val="20"/>
                      <w:szCs w:val="20"/>
                      <w:vertAlign w:val="superscript"/>
                    </w:rPr>
                    <w:t>2</w:t>
                  </w:r>
                  <w:r w:rsidRPr="001F5B5C">
                    <w:rPr>
                      <w:rFonts w:ascii="Times New Roman" w:eastAsia="Times New Roman" w:hAnsi="Times New Roman"/>
                      <w:sz w:val="20"/>
                      <w:szCs w:val="20"/>
                    </w:rPr>
                    <w:t>, Paritosh K. Das</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Cameron Univ, Lawton, OK, United States. </w:t>
                  </w:r>
                  <w:r w:rsidRPr="001F5B5C">
                    <w:rPr>
                      <w:rFonts w:ascii="Times New Roman" w:eastAsia="Times New Roman" w:hAnsi="Times New Roman"/>
                      <w:sz w:val="20"/>
                      <w:szCs w:val="20"/>
                    </w:rPr>
                    <w:br/>
                    <w:t xml:space="preserve">2. Chemistry, Physics and Engineering, Cameron University, Lawton, OK,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Sulfur-bearing moieties play significant roles in various processes of interest to biology, agriculture, industry, and environmental pollution. The multifarious functions of S are made possible by the numerous oxidation sates in which the element can exist, including some that are capable of facile redox interconversions. We have investigated several model organosulfur compounds for their charge-transfer interactions as donors with photoexcited singlet states of three cyanoaromatics, namely, 1,2,4,5-tetracyanbenzene (TCB), 1,4-dicyanonaphthalene (DCN), and 9,10-dicyanoanthracene (DCA) and with triplet excited states of aromatic ketones (e.g., benzophenone). This paper will present and examine kinetic data on the quenching of steady-state fluorescence of cyanoaromatics by several thiols, sulfides and disulfides and on the quenching of ketone triplets by several thiols (studied by nanosecond laser flash photolysis). In addition, the data on the efficiency of hydrogen transfer from thiols to ketone triplets will be presented.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4"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2368613</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Effect of Pretreatment Procedure on Cu-Pd/Al</w:t>
                  </w:r>
                  <w:r w:rsidRPr="001F5B5C">
                    <w:rPr>
                      <w:rFonts w:ascii="Times New Roman" w:eastAsia="Times New Roman" w:hAnsi="Times New Roman"/>
                      <w:b/>
                      <w:bCs/>
                      <w:sz w:val="20"/>
                      <w:szCs w:val="20"/>
                      <w:vertAlign w:val="subscript"/>
                    </w:rPr>
                    <w:t>2</w:t>
                  </w:r>
                  <w:r w:rsidRPr="001F5B5C">
                    <w:rPr>
                      <w:rFonts w:ascii="Times New Roman" w:eastAsia="Times New Roman" w:hAnsi="Times New Roman"/>
                      <w:b/>
                      <w:bCs/>
                      <w:sz w:val="20"/>
                      <w:szCs w:val="20"/>
                    </w:rPr>
                    <w:t>O</w:t>
                  </w:r>
                  <w:r w:rsidRPr="001F5B5C">
                    <w:rPr>
                      <w:rFonts w:ascii="Times New Roman" w:eastAsia="Times New Roman" w:hAnsi="Times New Roman"/>
                      <w:b/>
                      <w:bCs/>
                      <w:sz w:val="20"/>
                      <w:szCs w:val="20"/>
                      <w:vertAlign w:val="subscript"/>
                    </w:rPr>
                    <w:t>3</w:t>
                  </w:r>
                  <w:r w:rsidRPr="001F5B5C">
                    <w:rPr>
                      <w:rFonts w:ascii="Times New Roman" w:eastAsia="Times New Roman" w:hAnsi="Times New Roman"/>
                      <w:b/>
                      <w:bCs/>
                      <w:sz w:val="20"/>
                      <w:szCs w:val="20"/>
                    </w:rPr>
                    <w:t xml:space="preserve"> catalysts for selective hydrogenation of acetylene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Adelaide Bradicich</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abradicich@leomail.tamuc.edu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Adelaide Bradicich</w:t>
                  </w:r>
                  <w:r w:rsidRPr="001F5B5C">
                    <w:rPr>
                      <w:rFonts w:ascii="Times New Roman" w:eastAsia="Times New Roman" w:hAnsi="Times New Roman"/>
                      <w:sz w:val="20"/>
                      <w:szCs w:val="20"/>
                      <w:vertAlign w:val="superscript"/>
                    </w:rPr>
                    <w:t>1, 2</w:t>
                  </w:r>
                  <w:r w:rsidRPr="001F5B5C">
                    <w:rPr>
                      <w:rFonts w:ascii="Times New Roman" w:eastAsia="Times New Roman" w:hAnsi="Times New Roman"/>
                      <w:sz w:val="20"/>
                      <w:szCs w:val="20"/>
                    </w:rPr>
                    <w:t>, Gabrielle Malin</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Physics, Texas A&amp;M University- Commerce, Commerce, TX, United States. </w:t>
                  </w:r>
                  <w:r w:rsidRPr="001F5B5C">
                    <w:rPr>
                      <w:rFonts w:ascii="Times New Roman" w:eastAsia="Times New Roman" w:hAnsi="Times New Roman"/>
                      <w:sz w:val="20"/>
                      <w:szCs w:val="20"/>
                    </w:rPr>
                    <w:br/>
                    <w:t xml:space="preserve">2. Texas A&amp;M University- Commerce, Commerce,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selective hydrogenation of acetyleneto ethylene is investigated over bimetallic single atom alloy (SAA) catalysts in this study. Cu-PdSAA catalysts with different palladium loadings were tested. Among the lower metal loading catalysts tested, the one with 200 ppm Pd loading reached the highest selectivity, and the one with 2% Pd loading had the best conversion. The 500 ppm Pd catalyst had the best conversion when reduced for one hour at 100°C in the feed. It had the best selectivity at low temperatures when reduced in plasma for an hour, and the best selectivity at higher temperatures when both reduced in plasma and in hydrogen. The highest yields for this catalyst were reached by all the samples at the reaction temperature 125°C with the exception of the sample reduced at 100°C for three hours in hydrogen which peaked in yield at 100°C. The catalyst of 500 ppm Pd is studied extensively using various reduction procedures, including changingreduction temperature, using plasma reduction procedure and adjusting reaction feed gas. The results, or the conversions, selectivities, and yields reached in the selective hydrogenation process, will be discussed and related to the pretreatment procedures.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5"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2368796</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Bonding in Group 12 Dihalides and Limitations on Accuracy in Optimizations with certain Counterpoise Correction Strategies.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Robert Sjovold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robert.sjovold@richmond.edu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Robert Sjovold</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Kelling Donald</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University of </w:t>
                  </w:r>
                  <w:proofErr w:type="gramStart"/>
                  <w:r w:rsidRPr="001F5B5C">
                    <w:rPr>
                      <w:rFonts w:ascii="Times New Roman" w:eastAsia="Times New Roman" w:hAnsi="Times New Roman"/>
                      <w:sz w:val="20"/>
                      <w:szCs w:val="20"/>
                    </w:rPr>
                    <w:t>Richmond ,</w:t>
                  </w:r>
                  <w:proofErr w:type="gramEnd"/>
                  <w:r w:rsidRPr="001F5B5C">
                    <w:rPr>
                      <w:rFonts w:ascii="Times New Roman" w:eastAsia="Times New Roman" w:hAnsi="Times New Roman"/>
                      <w:sz w:val="20"/>
                      <w:szCs w:val="20"/>
                    </w:rPr>
                    <w:t xml:space="preserve"> Richmond, VA,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The reliability of relativistic and non-relativistic methods in determining the minimum energy geometry of group 12 dihalides is examined. The influence of counterpoise correction on structures predicted at these levels of theory is studied as well for these dimers, which have relatively high symmetry in the case of the ZnX</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and CdX</w:t>
                  </w:r>
                  <w:r w:rsidRPr="001F5B5C">
                    <w:rPr>
                      <w:rFonts w:ascii="Times New Roman" w:eastAsia="Times New Roman" w:hAnsi="Times New Roman"/>
                      <w:sz w:val="20"/>
                      <w:szCs w:val="20"/>
                      <w:vertAlign w:val="subscript"/>
                    </w:rPr>
                    <w:t>2</w:t>
                  </w:r>
                  <w:r w:rsidRPr="001F5B5C">
                    <w:rPr>
                      <w:rFonts w:ascii="Times New Roman" w:eastAsia="Times New Roman" w:hAnsi="Times New Roman"/>
                      <w:sz w:val="20"/>
                      <w:szCs w:val="20"/>
                    </w:rPr>
                    <w:t xml:space="preserve"> dimers. There are different strategies for assessing the counterpoise corrections for basis set superposition energies. We investigate the effects of computing the corrections on the fly during the optimization process on the symmetry of the structure and the nature of the predicted geometries. We find that although the counterpoise corrections can have a beneficial effect – improving the accuracy of the predicted geometries – it may </w:t>
                  </w:r>
                  <w:proofErr w:type="gramStart"/>
                  <w:r w:rsidRPr="001F5B5C">
                    <w:rPr>
                      <w:rFonts w:ascii="Times New Roman" w:eastAsia="Times New Roman" w:hAnsi="Times New Roman"/>
                      <w:sz w:val="20"/>
                      <w:szCs w:val="20"/>
                    </w:rPr>
                    <w:t>led</w:t>
                  </w:r>
                  <w:proofErr w:type="gramEnd"/>
                  <w:r w:rsidRPr="001F5B5C">
                    <w:rPr>
                      <w:rFonts w:ascii="Times New Roman" w:eastAsia="Times New Roman" w:hAnsi="Times New Roman"/>
                      <w:sz w:val="20"/>
                      <w:szCs w:val="20"/>
                    </w:rPr>
                    <w:t xml:space="preserve"> to misleading geometrical data for high symmetry systems depending on the way in which the fragments are defined during the calculations of the counterpoise corrections. Possible ways of improving this situation, and what it tells us about the current standard implementations of the counterpoise correct, are discussed.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6"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2368817</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TITLE: Computational investigation of O-H bond cleavage reactions of primary alcohols and water on stepped rhodium (211) and planar rhodium (111) surfaces using density functional theory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Ganjina Nagzibekova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gnagzibe@unca.edu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Ganjina Nagzibekova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Kulchanok Panichakornkul</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Lingerfelt</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Sally A. Wasileski</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University North Carolina Asheville, Asheville, NC,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Only</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With current advancements in technology comes an increased dependence on electricity. Combustion of limited fossil fuel resources is the main global source of energy, as well as environmental pollution, leading scientists to search for alternative ways to generate electricity. Fuel cells are a means to efficiently generate energy from hydrogen gas and can produce more sustainable energy if the hydrogen is generated from sustainable hydrogen-containing biomolecules, such as alcohols. Metal heterogeneous catalysts, such as rhodium, are used to facilitate the C-H and O-H bond cleavage of alcohols in hydrogen generation. Density functional theory (DFT) methods were used to investigate O-H bond cleavage at planar (111) and stepped (211) metal surface catalysts. Lowest energy conformations, binding energies and reaction energies of alcohols from 1-5 carbon chain lengths and water as a model adsorbate are calculated by DFT to determine reactivity as a function of chain length at different catalytic adsorption sites.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7"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2368961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Computational Investigations of Molecular Electronic Properties and Hyperpolarizability of Organic Molecules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Miranda Miles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mmiles5002@g.fmarion.edu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Miranda Miles</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David A. Clabo</w:t>
                  </w:r>
                  <w:r w:rsidRPr="001F5B5C">
                    <w:rPr>
                      <w:rFonts w:ascii="Times New Roman" w:eastAsia="Times New Roman" w:hAnsi="Times New Roman"/>
                      <w:sz w:val="20"/>
                      <w:szCs w:val="20"/>
                      <w:vertAlign w:val="superscript"/>
                    </w:rPr>
                    <w:t>1</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Francis Marion Univ, Florence, SC,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This project has extended previous research from our group investigating the structural and electronic features that contribute to the hyperpolarizability of organic molecules. The previous work found no good correlation between level of theory, basis set, substituents, solvation, total charge, etc. and the accuracy of calculated molecular hyperpolarizability (with respect to experimentally determined values). This project has examined additional molecular electronic properties to determine the correlations between calculated dipole moment, HOMO-LUMO gap, electron density, electrostatic potential, etc. and calculated hyperpolarizability, for thepourpose of understanding and accurately predicting hyperpolarizability. Comparisons have been made for reference organic molecules [4-nitroaniline, 4’-nitro-4-(N</w:t>
                  </w:r>
                  <w:proofErr w:type="gramStart"/>
                  <w:r w:rsidRPr="001F5B5C">
                    <w:rPr>
                      <w:rFonts w:ascii="Times New Roman" w:eastAsia="Times New Roman" w:hAnsi="Times New Roman"/>
                      <w:sz w:val="20"/>
                      <w:szCs w:val="20"/>
                    </w:rPr>
                    <w:t>,N</w:t>
                  </w:r>
                  <w:proofErr w:type="gramEnd"/>
                  <w:r w:rsidRPr="001F5B5C">
                    <w:rPr>
                      <w:rFonts w:ascii="Times New Roman" w:eastAsia="Times New Roman" w:hAnsi="Times New Roman"/>
                      <w:sz w:val="20"/>
                      <w:szCs w:val="20"/>
                    </w:rPr>
                    <w:t>-dimethlyamino)azobenzene, etc.], substituted saccharins, and transition metal saccharin complexes.</w:t>
                  </w:r>
                  <w:r w:rsidRPr="001F5B5C">
                    <w:rPr>
                      <w:rFonts w:ascii="Times New Roman" w:eastAsia="Times New Roman" w:hAnsi="Times New Roman"/>
                      <w:sz w:val="20"/>
                      <w:szCs w:val="20"/>
                    </w:rPr>
                    <w:br/>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240" w:line="240" w:lineRule="auto"/>
              <w:rPr>
                <w:rFonts w:ascii="Times New Roman" w:eastAsia="Times New Roman" w:hAnsi="Times New Roman"/>
                <w:sz w:val="24"/>
                <w:szCs w:val="24"/>
              </w:rPr>
            </w:pPr>
          </w:p>
          <w:p w:rsidR="001F5B5C" w:rsidRPr="001F5B5C" w:rsidRDefault="001F5B5C" w:rsidP="001F5B5C">
            <w:pPr>
              <w:spacing w:after="0" w:line="240" w:lineRule="auto"/>
              <w:jc w:val="center"/>
              <w:rPr>
                <w:rFonts w:ascii="Times New Roman" w:eastAsia="Times New Roman" w:hAnsi="Times New Roman"/>
                <w:sz w:val="24"/>
                <w:szCs w:val="24"/>
              </w:rPr>
            </w:pPr>
            <w:r w:rsidRPr="001F5B5C">
              <w:rPr>
                <w:rFonts w:ascii="Times New Roman" w:eastAsia="Times New Roman" w:hAnsi="Times New Roman"/>
                <w:sz w:val="24"/>
                <w:szCs w:val="24"/>
              </w:rPr>
              <w:pict>
                <v:rect id="_x0000_i2858" style="width:468pt;height:1.5pt" o:hralign="center" o:hrstd="t" o:hr="t" fillcolor="#a0a0a0" stroked="f"/>
              </w:pict>
            </w:r>
          </w:p>
        </w:tc>
      </w:tr>
      <w:tr w:rsidR="001F5B5C" w:rsidRPr="001F5B5C" w:rsidTr="001F5B5C">
        <w:trPr>
          <w:tblCellSpacing w:w="15" w:type="dxa"/>
        </w:trPr>
        <w:tc>
          <w:tcPr>
            <w:tcW w:w="0" w:type="auto"/>
            <w:tcMar>
              <w:top w:w="15" w:type="dxa"/>
              <w:left w:w="15" w:type="dxa"/>
              <w:bottom w:w="15" w:type="dxa"/>
              <w:right w:w="15" w:type="dxa"/>
            </w:tcMar>
            <w:vAlign w:val="center"/>
            <w:hideMark/>
          </w:tcPr>
          <w:tbl>
            <w:tblPr>
              <w:tblW w:w="0" w:type="auto"/>
              <w:tblCellSpacing w:w="15" w:type="dxa"/>
              <w:tblLook w:val="04A0" w:firstRow="1" w:lastRow="0" w:firstColumn="1" w:lastColumn="0" w:noHBand="0" w:noVBand="1"/>
            </w:tblPr>
            <w:tblGrid>
              <w:gridCol w:w="9273"/>
            </w:tblGrid>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PROGRAM AREA NAME: </w:t>
                  </w:r>
                  <w:r w:rsidRPr="001F5B5C">
                    <w:rPr>
                      <w:rFonts w:ascii="Times New Roman" w:eastAsia="Times New Roman" w:hAnsi="Times New Roman"/>
                      <w:sz w:val="20"/>
                      <w:szCs w:val="20"/>
                    </w:rPr>
                    <w:t>2015 Joint Southeastern/Southwest Regional Meeting</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SYMPOSIUM NAME: </w:t>
                  </w:r>
                  <w:r w:rsidRPr="001F5B5C">
                    <w:rPr>
                      <w:rFonts w:ascii="Times New Roman" w:eastAsia="Times New Roman" w:hAnsi="Times New Roman"/>
                      <w:sz w:val="20"/>
                      <w:szCs w:val="20"/>
                    </w:rPr>
                    <w:t>Undergraduate: Physical Chemistry - Poster</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CONTROL ID: </w:t>
                  </w:r>
                  <w:r w:rsidRPr="001F5B5C">
                    <w:rPr>
                      <w:rFonts w:ascii="Times New Roman" w:eastAsia="Times New Roman" w:hAnsi="Times New Roman"/>
                      <w:sz w:val="20"/>
                      <w:szCs w:val="20"/>
                    </w:rPr>
                    <w:t>2369318</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TITLE: </w:t>
                  </w:r>
                  <w:r w:rsidRPr="001F5B5C">
                    <w:rPr>
                      <w:rFonts w:ascii="Times New Roman" w:eastAsia="Times New Roman" w:hAnsi="Times New Roman"/>
                      <w:sz w:val="20"/>
                      <w:szCs w:val="20"/>
                    </w:rPr>
                    <w:t>Gas-Phase Decomposition Studies of Ni</w:t>
                  </w:r>
                  <w:r w:rsidRPr="001F5B5C">
                    <w:rPr>
                      <w:rFonts w:ascii="Times New Roman" w:eastAsia="Times New Roman" w:hAnsi="Times New Roman"/>
                      <w:sz w:val="20"/>
                      <w:szCs w:val="20"/>
                      <w:vertAlign w:val="superscript"/>
                    </w:rPr>
                    <w:t>+</w:t>
                  </w:r>
                  <w:r w:rsidRPr="001F5B5C">
                    <w:rPr>
                      <w:rFonts w:ascii="Times New Roman" w:eastAsia="Times New Roman" w:hAnsi="Times New Roman"/>
                      <w:sz w:val="20"/>
                      <w:szCs w:val="20"/>
                    </w:rPr>
                    <w:t>-Aldehyde Systems</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w:t>
                  </w:r>
                  <w:r w:rsidRPr="001F5B5C">
                    <w:rPr>
                      <w:rFonts w:ascii="Times New Roman" w:eastAsia="Times New Roman" w:hAnsi="Times New Roman"/>
                      <w:sz w:val="20"/>
                      <w:szCs w:val="20"/>
                    </w:rPr>
                    <w:t>Abigail Africa</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PRESENTER (E-MAIL ONLY): </w:t>
                  </w:r>
                  <w:r w:rsidRPr="001F5B5C">
                    <w:rPr>
                      <w:rFonts w:ascii="Times New Roman" w:eastAsia="Times New Roman" w:hAnsi="Times New Roman"/>
                      <w:sz w:val="20"/>
                      <w:szCs w:val="20"/>
                    </w:rPr>
                    <w:t>abigail_africa@baylor.edu</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AUTHORS (FIRST NAME, LAST NAME): </w:t>
                  </w:r>
                  <w:r w:rsidRPr="001F5B5C">
                    <w:rPr>
                      <w:rFonts w:ascii="Times New Roman" w:eastAsia="Times New Roman" w:hAnsi="Times New Roman"/>
                      <w:sz w:val="20"/>
                      <w:szCs w:val="20"/>
                    </w:rPr>
                    <w:t>Abigail Africa</w:t>
                  </w:r>
                  <w:r w:rsidRPr="001F5B5C">
                    <w:rPr>
                      <w:rFonts w:ascii="Times New Roman" w:eastAsia="Times New Roman" w:hAnsi="Times New Roman"/>
                      <w:sz w:val="20"/>
                      <w:szCs w:val="20"/>
                      <w:vertAlign w:val="superscript"/>
                    </w:rPr>
                    <w:t>1</w:t>
                  </w:r>
                  <w:r w:rsidRPr="001F5B5C">
                    <w:rPr>
                      <w:rFonts w:ascii="Times New Roman" w:eastAsia="Times New Roman" w:hAnsi="Times New Roman"/>
                      <w:sz w:val="20"/>
                      <w:szCs w:val="20"/>
                    </w:rPr>
                    <w:t>, Adam Mansell</w:t>
                  </w:r>
                  <w:r w:rsidRPr="001F5B5C">
                    <w:rPr>
                      <w:rFonts w:ascii="Times New Roman" w:eastAsia="Times New Roman" w:hAnsi="Times New Roman"/>
                      <w:sz w:val="20"/>
                      <w:szCs w:val="20"/>
                      <w:vertAlign w:val="superscript"/>
                    </w:rPr>
                    <w:t>4</w:t>
                  </w:r>
                  <w:r w:rsidRPr="001F5B5C">
                    <w:rPr>
                      <w:rFonts w:ascii="Times New Roman" w:eastAsia="Times New Roman" w:hAnsi="Times New Roman"/>
                      <w:sz w:val="20"/>
                      <w:szCs w:val="20"/>
                    </w:rPr>
                    <w:t>, Zachry Theis</w:t>
                  </w:r>
                  <w:r w:rsidRPr="001F5B5C">
                    <w:rPr>
                      <w:rFonts w:ascii="Times New Roman" w:eastAsia="Times New Roman" w:hAnsi="Times New Roman"/>
                      <w:sz w:val="20"/>
                      <w:szCs w:val="20"/>
                      <w:vertAlign w:val="superscript"/>
                    </w:rPr>
                    <w:t>3</w:t>
                  </w:r>
                  <w:r w:rsidRPr="001F5B5C">
                    <w:rPr>
                      <w:rFonts w:ascii="Times New Roman" w:eastAsia="Times New Roman" w:hAnsi="Times New Roman"/>
                      <w:sz w:val="20"/>
                      <w:szCs w:val="20"/>
                    </w:rPr>
                    <w:t>, Darrin J. Bellert</w:t>
                  </w:r>
                  <w:r w:rsidRPr="001F5B5C">
                    <w:rPr>
                      <w:rFonts w:ascii="Times New Roman" w:eastAsia="Times New Roman" w:hAnsi="Times New Roman"/>
                      <w:sz w:val="20"/>
                      <w:szCs w:val="20"/>
                      <w:vertAlign w:val="superscript"/>
                    </w:rPr>
                    <w:t>2</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INSTITUTIONS (ALL): </w:t>
                  </w:r>
                  <w:r w:rsidRPr="001F5B5C">
                    <w:rPr>
                      <w:rFonts w:ascii="Times New Roman" w:eastAsia="Times New Roman" w:hAnsi="Times New Roman"/>
                      <w:sz w:val="20"/>
                      <w:szCs w:val="20"/>
                    </w:rPr>
                    <w:t xml:space="preserve">1. Department of Chemistry, Baylor, Waco, TX, United States. </w:t>
                  </w:r>
                  <w:r w:rsidRPr="001F5B5C">
                    <w:rPr>
                      <w:rFonts w:ascii="Times New Roman" w:eastAsia="Times New Roman" w:hAnsi="Times New Roman"/>
                      <w:sz w:val="20"/>
                      <w:szCs w:val="20"/>
                    </w:rPr>
                    <w:br/>
                    <w:t xml:space="preserve">2. Baylor University, Waco, TX, United States. </w:t>
                  </w:r>
                  <w:r w:rsidRPr="001F5B5C">
                    <w:rPr>
                      <w:rFonts w:ascii="Times New Roman" w:eastAsia="Times New Roman" w:hAnsi="Times New Roman"/>
                      <w:sz w:val="20"/>
                      <w:szCs w:val="20"/>
                    </w:rPr>
                    <w:br/>
                    <w:t xml:space="preserve">3. Chemistry Biochemistry, Baylor University, Waco, TX, United States. </w:t>
                  </w:r>
                  <w:r w:rsidRPr="001F5B5C">
                    <w:rPr>
                      <w:rFonts w:ascii="Times New Roman" w:eastAsia="Times New Roman" w:hAnsi="Times New Roman"/>
                      <w:sz w:val="20"/>
                      <w:szCs w:val="20"/>
                    </w:rPr>
                    <w:br/>
                    <w:t xml:space="preserve">4. Chemistry/ Biochemistry, Baylor University, Waco, TX, United States.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PRESENTATION TYPE: </w:t>
                  </w:r>
                  <w:r w:rsidRPr="001F5B5C">
                    <w:rPr>
                      <w:rFonts w:ascii="Times New Roman" w:eastAsia="Times New Roman" w:hAnsi="Times New Roman"/>
                      <w:sz w:val="20"/>
                      <w:szCs w:val="20"/>
                    </w:rPr>
                    <w:t>Poster Preferred</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24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BODY: </w:t>
                  </w:r>
                  <w:r w:rsidRPr="001F5B5C">
                    <w:rPr>
                      <w:rFonts w:ascii="Times New Roman" w:eastAsia="Times New Roman" w:hAnsi="Times New Roman"/>
                      <w:b/>
                      <w:bCs/>
                      <w:sz w:val="20"/>
                      <w:szCs w:val="20"/>
                    </w:rPr>
                    <w:br/>
                    <w:t xml:space="preserve">Abstract: </w:t>
                  </w:r>
                  <w:r w:rsidRPr="001F5B5C">
                    <w:rPr>
                      <w:rFonts w:ascii="Times New Roman" w:eastAsia="Times New Roman" w:hAnsi="Times New Roman"/>
                      <w:sz w:val="20"/>
                      <w:szCs w:val="20"/>
                    </w:rPr>
                    <w:t>Aldehydes are the precursor to many large-scale, industrial reactions. Their low energy</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and selective transformations impact this industry. This poster presents recent gas-phase</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decomposition studies of aldehydes mediated by the Ni+ cation. Gas-phase systems are not</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influenced by solvent and counter-ion effects creating ideal conditions for studying the most</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basic of reactions. This is conducted by generating electrostatically-bound binary clusters in a</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supersonic expansion. Energy is supplied to the isolated systems via laser photon absorption and</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the photon-excited species decompose into charged fragments on the microsecond time-scale.</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The dissociation event is monitored in a custom time-of-flight mass spectrometer and the</w:t>
                  </w:r>
                  <w:r w:rsidRPr="001F5B5C">
                    <w:rPr>
                      <w:rFonts w:ascii="Times New Roman" w:eastAsia="Times New Roman" w:hAnsi="Times New Roman"/>
                      <w:sz w:val="20"/>
                      <w:szCs w:val="20"/>
                    </w:rPr>
                    <w:br/>
                  </w:r>
                  <w:r w:rsidRPr="001F5B5C">
                    <w:rPr>
                      <w:rFonts w:ascii="Times New Roman" w:eastAsia="Times New Roman" w:hAnsi="Times New Roman"/>
                      <w:sz w:val="20"/>
                      <w:szCs w:val="20"/>
                    </w:rPr>
                    <w:br/>
                    <w:t xml:space="preserve">kinetics </w:t>
                  </w:r>
                  <w:proofErr w:type="gramStart"/>
                  <w:r w:rsidRPr="001F5B5C">
                    <w:rPr>
                      <w:rFonts w:ascii="Times New Roman" w:eastAsia="Times New Roman" w:hAnsi="Times New Roman"/>
                      <w:sz w:val="20"/>
                      <w:szCs w:val="20"/>
                    </w:rPr>
                    <w:t>are</w:t>
                  </w:r>
                  <w:proofErr w:type="gramEnd"/>
                  <w:r w:rsidRPr="001F5B5C">
                    <w:rPr>
                      <w:rFonts w:ascii="Times New Roman" w:eastAsia="Times New Roman" w:hAnsi="Times New Roman"/>
                      <w:sz w:val="20"/>
                      <w:szCs w:val="20"/>
                    </w:rPr>
                    <w:t xml:space="preserve"> sampled in real-time.</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DECISION STATUS: </w:t>
                  </w:r>
                </w:p>
              </w:tc>
            </w:tr>
            <w:tr w:rsidR="001F5B5C" w:rsidRPr="001F5B5C">
              <w:trPr>
                <w:tblCellSpacing w:w="15" w:type="dxa"/>
              </w:trPr>
              <w:tc>
                <w:tcPr>
                  <w:tcW w:w="0" w:type="auto"/>
                  <w:tcMar>
                    <w:top w:w="15" w:type="dxa"/>
                    <w:left w:w="15" w:type="dxa"/>
                    <w:bottom w:w="15" w:type="dxa"/>
                    <w:right w:w="15" w:type="dxa"/>
                  </w:tcMar>
                  <w:vAlign w:val="center"/>
                  <w:hideMark/>
                </w:tcPr>
                <w:p w:rsidR="001F5B5C" w:rsidRPr="001F5B5C" w:rsidRDefault="001F5B5C" w:rsidP="001F5B5C">
                  <w:pPr>
                    <w:spacing w:after="0" w:line="240" w:lineRule="auto"/>
                    <w:rPr>
                      <w:rFonts w:ascii="Times New Roman" w:eastAsia="Times New Roman" w:hAnsi="Times New Roman"/>
                      <w:sz w:val="24"/>
                      <w:szCs w:val="24"/>
                    </w:rPr>
                  </w:pPr>
                  <w:r w:rsidRPr="001F5B5C">
                    <w:rPr>
                      <w:rFonts w:ascii="Times New Roman" w:eastAsia="Times New Roman" w:hAnsi="Times New Roman"/>
                      <w:b/>
                      <w:bCs/>
                      <w:sz w:val="20"/>
                      <w:szCs w:val="20"/>
                    </w:rPr>
                    <w:t xml:space="preserve">ABSTRACT STATUS: </w:t>
                  </w:r>
                  <w:r w:rsidRPr="001F5B5C">
                    <w:rPr>
                      <w:rFonts w:ascii="Times New Roman" w:eastAsia="Times New Roman" w:hAnsi="Times New Roman"/>
                      <w:sz w:val="20"/>
                      <w:szCs w:val="20"/>
                    </w:rPr>
                    <w:t>submitted Withdraw</w:t>
                  </w:r>
                </w:p>
              </w:tc>
            </w:tr>
          </w:tbl>
          <w:p w:rsidR="001F5B5C" w:rsidRPr="001F5B5C" w:rsidRDefault="001F5B5C" w:rsidP="001F5B5C">
            <w:pPr>
              <w:spacing w:after="0"/>
            </w:pPr>
          </w:p>
        </w:tc>
      </w:tr>
    </w:tbl>
    <w:p w:rsidR="0053706A" w:rsidRPr="00D1696D" w:rsidRDefault="0053706A" w:rsidP="00D1696D"/>
    <w:sectPr w:rsidR="0053706A" w:rsidRPr="00D1696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7A5D7D" w:rsidRDefault="004417DB" w:rsidP="00D87FBA">
    <w:pPr>
      <w:pStyle w:val="Header"/>
      <w:rPr>
        <w:rFonts w:ascii="Times New Roman" w:eastAsia="Times New Roman" w:hAnsi="Times New Roman"/>
        <w:sz w:val="20"/>
        <w:szCs w:val="20"/>
      </w:rPr>
    </w:pPr>
    <w:r w:rsidRPr="001F139D">
      <w:rPr>
        <w:rFonts w:ascii="Times New Roman" w:eastAsia="Times New Roman" w:hAnsi="Times New Roman"/>
        <w:sz w:val="20"/>
        <w:szCs w:val="20"/>
      </w:rPr>
      <w:t>2015 Joint Southeastern/Southwest Regional Meeting</w:t>
    </w:r>
    <w:r w:rsidR="007A5D7D">
      <w:rPr>
        <w:rFonts w:ascii="Times New Roman" w:eastAsia="Times New Roman" w:hAnsi="Times New Roman"/>
        <w:sz w:val="20"/>
        <w:szCs w:val="20"/>
      </w:rPr>
      <w:tab/>
    </w:r>
    <w:r w:rsidR="00D87FBA" w:rsidRPr="00D87FBA">
      <w:rPr>
        <w:rFonts w:ascii="Times New Roman" w:hAnsi="Times New Roman"/>
        <w:sz w:val="20"/>
      </w:rPr>
      <w:tab/>
    </w:r>
    <w:r w:rsidR="001F5B5C">
      <w:rPr>
        <w:rFonts w:ascii="Times New Roman" w:eastAsia="Times New Roman" w:hAnsi="Times New Roman"/>
        <w:sz w:val="20"/>
        <w:szCs w:val="20"/>
      </w:rPr>
      <w:t>Tomorrow's Therapeutics: Natural Products - Oral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35A9B"/>
    <w:rsid w:val="0004137C"/>
    <w:rsid w:val="00071B5D"/>
    <w:rsid w:val="00092E0E"/>
    <w:rsid w:val="000E3BC1"/>
    <w:rsid w:val="000F1692"/>
    <w:rsid w:val="001050A4"/>
    <w:rsid w:val="00136CD1"/>
    <w:rsid w:val="001475F6"/>
    <w:rsid w:val="00151D5C"/>
    <w:rsid w:val="001B12EC"/>
    <w:rsid w:val="001B2600"/>
    <w:rsid w:val="001E4FBF"/>
    <w:rsid w:val="001F5B5C"/>
    <w:rsid w:val="0020021A"/>
    <w:rsid w:val="0020086D"/>
    <w:rsid w:val="00203F1A"/>
    <w:rsid w:val="002216BC"/>
    <w:rsid w:val="0022433C"/>
    <w:rsid w:val="00230FAC"/>
    <w:rsid w:val="00270BD7"/>
    <w:rsid w:val="00277A4C"/>
    <w:rsid w:val="00282B54"/>
    <w:rsid w:val="002840C4"/>
    <w:rsid w:val="002A157F"/>
    <w:rsid w:val="002D3191"/>
    <w:rsid w:val="002F0D3D"/>
    <w:rsid w:val="0036674A"/>
    <w:rsid w:val="00380B44"/>
    <w:rsid w:val="00381614"/>
    <w:rsid w:val="00383835"/>
    <w:rsid w:val="00383ECA"/>
    <w:rsid w:val="003B00FE"/>
    <w:rsid w:val="003D2048"/>
    <w:rsid w:val="003F0FC6"/>
    <w:rsid w:val="003F4B71"/>
    <w:rsid w:val="003F7525"/>
    <w:rsid w:val="0042005E"/>
    <w:rsid w:val="004417DB"/>
    <w:rsid w:val="004503CF"/>
    <w:rsid w:val="00461A63"/>
    <w:rsid w:val="00476719"/>
    <w:rsid w:val="00492AC6"/>
    <w:rsid w:val="004B407B"/>
    <w:rsid w:val="00512B7D"/>
    <w:rsid w:val="005242B8"/>
    <w:rsid w:val="0053706A"/>
    <w:rsid w:val="00556ED6"/>
    <w:rsid w:val="00586E53"/>
    <w:rsid w:val="005B1E45"/>
    <w:rsid w:val="005F19E7"/>
    <w:rsid w:val="0069784B"/>
    <w:rsid w:val="006D545E"/>
    <w:rsid w:val="007165AB"/>
    <w:rsid w:val="00741B5C"/>
    <w:rsid w:val="007522D0"/>
    <w:rsid w:val="00780D2B"/>
    <w:rsid w:val="007823CE"/>
    <w:rsid w:val="00784F32"/>
    <w:rsid w:val="007A5D7D"/>
    <w:rsid w:val="007C381E"/>
    <w:rsid w:val="0084043F"/>
    <w:rsid w:val="00841B8A"/>
    <w:rsid w:val="00847188"/>
    <w:rsid w:val="008746AB"/>
    <w:rsid w:val="008B4358"/>
    <w:rsid w:val="008C3213"/>
    <w:rsid w:val="008E65A2"/>
    <w:rsid w:val="00953590"/>
    <w:rsid w:val="009679FC"/>
    <w:rsid w:val="0098201B"/>
    <w:rsid w:val="009867B3"/>
    <w:rsid w:val="009C72E3"/>
    <w:rsid w:val="00A07337"/>
    <w:rsid w:val="00A23226"/>
    <w:rsid w:val="00A60906"/>
    <w:rsid w:val="00A65A68"/>
    <w:rsid w:val="00AD0DB2"/>
    <w:rsid w:val="00AD2697"/>
    <w:rsid w:val="00AD5753"/>
    <w:rsid w:val="00AD6BE5"/>
    <w:rsid w:val="00B35908"/>
    <w:rsid w:val="00B5419A"/>
    <w:rsid w:val="00C034C4"/>
    <w:rsid w:val="00C12CF5"/>
    <w:rsid w:val="00C272AE"/>
    <w:rsid w:val="00C377AB"/>
    <w:rsid w:val="00C421F3"/>
    <w:rsid w:val="00C507C6"/>
    <w:rsid w:val="00CD2774"/>
    <w:rsid w:val="00CF18CF"/>
    <w:rsid w:val="00D1696D"/>
    <w:rsid w:val="00D223FD"/>
    <w:rsid w:val="00D338C9"/>
    <w:rsid w:val="00D7074C"/>
    <w:rsid w:val="00D75839"/>
    <w:rsid w:val="00D77CDE"/>
    <w:rsid w:val="00D87FBA"/>
    <w:rsid w:val="00DA2C33"/>
    <w:rsid w:val="00DB7F1A"/>
    <w:rsid w:val="00DE39D8"/>
    <w:rsid w:val="00E43435"/>
    <w:rsid w:val="00EA74DC"/>
    <w:rsid w:val="00EB0695"/>
    <w:rsid w:val="00ED0BA8"/>
    <w:rsid w:val="00ED1023"/>
    <w:rsid w:val="00ED3109"/>
    <w:rsid w:val="00ED566D"/>
    <w:rsid w:val="00ED6E6B"/>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2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numbering" w:customStyle="1" w:styleId="NoList24">
    <w:name w:val="No List24"/>
    <w:next w:val="NoList"/>
    <w:uiPriority w:val="99"/>
    <w:semiHidden/>
    <w:unhideWhenUsed/>
    <w:rsid w:val="00492A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2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numbering" w:customStyle="1" w:styleId="NoList24">
    <w:name w:val="No List24"/>
    <w:next w:val="NoList"/>
    <w:uiPriority w:val="99"/>
    <w:semiHidden/>
    <w:unhideWhenUsed/>
    <w:rsid w:val="00492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92631458">
      <w:bodyDiv w:val="1"/>
      <w:marLeft w:val="0"/>
      <w:marRight w:val="0"/>
      <w:marTop w:val="0"/>
      <w:marBottom w:val="0"/>
      <w:divBdr>
        <w:top w:val="none" w:sz="0" w:space="0" w:color="auto"/>
        <w:left w:val="none" w:sz="0" w:space="0" w:color="auto"/>
        <w:bottom w:val="none" w:sz="0" w:space="0" w:color="auto"/>
        <w:right w:val="none" w:sz="0" w:space="0" w:color="auto"/>
      </w:divBdr>
    </w:div>
    <w:div w:id="210384663">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689138235">
      <w:bodyDiv w:val="1"/>
      <w:marLeft w:val="0"/>
      <w:marRight w:val="0"/>
      <w:marTop w:val="0"/>
      <w:marBottom w:val="0"/>
      <w:divBdr>
        <w:top w:val="none" w:sz="0" w:space="0" w:color="auto"/>
        <w:left w:val="none" w:sz="0" w:space="0" w:color="auto"/>
        <w:bottom w:val="none" w:sz="0" w:space="0" w:color="auto"/>
        <w:right w:val="none" w:sz="0" w:space="0" w:color="auto"/>
      </w:divBdr>
    </w:div>
    <w:div w:id="728459478">
      <w:bodyDiv w:val="1"/>
      <w:marLeft w:val="0"/>
      <w:marRight w:val="0"/>
      <w:marTop w:val="0"/>
      <w:marBottom w:val="0"/>
      <w:divBdr>
        <w:top w:val="none" w:sz="0" w:space="0" w:color="auto"/>
        <w:left w:val="none" w:sz="0" w:space="0" w:color="auto"/>
        <w:bottom w:val="none" w:sz="0" w:space="0" w:color="auto"/>
        <w:right w:val="none" w:sz="0" w:space="0" w:color="auto"/>
      </w:divBdr>
    </w:div>
    <w:div w:id="753820140">
      <w:bodyDiv w:val="1"/>
      <w:marLeft w:val="0"/>
      <w:marRight w:val="0"/>
      <w:marTop w:val="0"/>
      <w:marBottom w:val="0"/>
      <w:divBdr>
        <w:top w:val="none" w:sz="0" w:space="0" w:color="auto"/>
        <w:left w:val="none" w:sz="0" w:space="0" w:color="auto"/>
        <w:bottom w:val="none" w:sz="0" w:space="0" w:color="auto"/>
        <w:right w:val="none" w:sz="0" w:space="0" w:color="auto"/>
      </w:divBdr>
    </w:div>
    <w:div w:id="771239620">
      <w:bodyDiv w:val="1"/>
      <w:marLeft w:val="0"/>
      <w:marRight w:val="0"/>
      <w:marTop w:val="0"/>
      <w:marBottom w:val="0"/>
      <w:divBdr>
        <w:top w:val="none" w:sz="0" w:space="0" w:color="auto"/>
        <w:left w:val="none" w:sz="0" w:space="0" w:color="auto"/>
        <w:bottom w:val="none" w:sz="0" w:space="0" w:color="auto"/>
        <w:right w:val="none" w:sz="0" w:space="0" w:color="auto"/>
      </w:divBdr>
    </w:div>
    <w:div w:id="800222307">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889266187">
      <w:bodyDiv w:val="1"/>
      <w:marLeft w:val="0"/>
      <w:marRight w:val="0"/>
      <w:marTop w:val="0"/>
      <w:marBottom w:val="0"/>
      <w:divBdr>
        <w:top w:val="none" w:sz="0" w:space="0" w:color="auto"/>
        <w:left w:val="none" w:sz="0" w:space="0" w:color="auto"/>
        <w:bottom w:val="none" w:sz="0" w:space="0" w:color="auto"/>
        <w:right w:val="none" w:sz="0" w:space="0" w:color="auto"/>
      </w:divBdr>
    </w:div>
    <w:div w:id="1103653078">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169364997">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257981376">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35568950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61285703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739742043">
      <w:bodyDiv w:val="1"/>
      <w:marLeft w:val="0"/>
      <w:marRight w:val="0"/>
      <w:marTop w:val="0"/>
      <w:marBottom w:val="0"/>
      <w:divBdr>
        <w:top w:val="none" w:sz="0" w:space="0" w:color="auto"/>
        <w:left w:val="none" w:sz="0" w:space="0" w:color="auto"/>
        <w:bottom w:val="none" w:sz="0" w:space="0" w:color="auto"/>
        <w:right w:val="none" w:sz="0" w:space="0" w:color="auto"/>
      </w:divBdr>
    </w:div>
    <w:div w:id="1808235742">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54052200">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 w:id="212384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240</Pages>
  <Words>111770</Words>
  <Characters>637092</Characters>
  <Application>Microsoft Office Word</Application>
  <DocSecurity>0</DocSecurity>
  <Lines>5309</Lines>
  <Paragraphs>1494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747368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2015-09-03T01:34:00Z</dcterms:created>
  <dcterms:modified xsi:type="dcterms:W3CDTF">2015-09-03T01:37:00Z</dcterms:modified>
</cp:coreProperties>
</file>