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50" w:type="dxa"/>
        <w:tblCellSpacing w:w="15" w:type="dxa"/>
        <w:tblCellMar>
          <w:top w:w="15" w:type="dxa"/>
          <w:left w:w="15" w:type="dxa"/>
          <w:bottom w:w="15" w:type="dxa"/>
          <w:right w:w="15" w:type="dxa"/>
        </w:tblCellMar>
        <w:tblLook w:val="04A0" w:firstRow="1" w:lastRow="0" w:firstColumn="1" w:lastColumn="0" w:noHBand="0" w:noVBand="1"/>
      </w:tblPr>
      <w:tblGrid>
        <w:gridCol w:w="9450"/>
      </w:tblGrid>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2307109</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GC-MS measurement of xenon in fluids for neuroprotective applications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Jermaine Hurling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Jermaine.R.Hurling@uth.tmc.edu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Jermaine R. Hurling</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Melanie R. Moody</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Tao Peng</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Shao-Ling Huang</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David D. McPherson</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Melvin E. Klegerman</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Internal Medicine/Div. Cardiology BBSB 5310, University of Texas Health Science Center, Houston, TX,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Preferred</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Background: </w:t>
                  </w:r>
                  <w:r w:rsidRPr="008746AB">
                    <w:rPr>
                      <w:rFonts w:ascii="Times New Roman" w:eastAsia="Times New Roman" w:hAnsi="Times New Roman" w:cs="Times New Roman"/>
                      <w:sz w:val="20"/>
                      <w:szCs w:val="20"/>
                    </w:rPr>
                    <w:t xml:space="preserve">Neuroprotective agents are meant to slow the progression of brain damage in stroke patients by inhibiting expansion of necrotic brain </w:t>
                  </w:r>
                  <w:proofErr w:type="gramStart"/>
                  <w:r w:rsidRPr="008746AB">
                    <w:rPr>
                      <w:rFonts w:ascii="Times New Roman" w:eastAsia="Times New Roman" w:hAnsi="Times New Roman" w:cs="Times New Roman"/>
                      <w:sz w:val="20"/>
                      <w:szCs w:val="20"/>
                    </w:rPr>
                    <w:t>tissue .</w:t>
                  </w:r>
                  <w:proofErr w:type="gramEnd"/>
                  <w:r w:rsidRPr="008746AB">
                    <w:rPr>
                      <w:rFonts w:ascii="Times New Roman" w:eastAsia="Times New Roman" w:hAnsi="Times New Roman" w:cs="Times New Roman"/>
                      <w:sz w:val="20"/>
                      <w:szCs w:val="20"/>
                    </w:rPr>
                    <w:t xml:space="preserve"> Xenon’s ability to antagonize NMDA receptor-mediated excitotoxicity following an ischemic attack and its ready diffusion into target tissues makes it an excellent neuroprotective candidate. We have developed a liposomal formulation of xenon (Xe-ELIP) for this purpose. The objective of this study was to develop a reliable assay to measure the amount of dissolved xenon released from Xe-ELIP in water and blood samples. </w:t>
                  </w:r>
                  <w:r w:rsidRPr="008746AB">
                    <w:rPr>
                      <w:rFonts w:ascii="Times New Roman" w:eastAsia="Times New Roman" w:hAnsi="Times New Roman" w:cs="Times New Roman"/>
                      <w:b/>
                      <w:bCs/>
                      <w:sz w:val="20"/>
                      <w:szCs w:val="20"/>
                    </w:rPr>
                    <w:t xml:space="preserve">Methods: </w:t>
                  </w:r>
                  <w:r w:rsidRPr="008746AB">
                    <w:rPr>
                      <w:rFonts w:ascii="Times New Roman" w:eastAsia="Times New Roman" w:hAnsi="Times New Roman" w:cs="Times New Roman"/>
                      <w:sz w:val="20"/>
                      <w:szCs w:val="20"/>
                    </w:rPr>
                    <w:t xml:space="preserve">Gas chromatography-Mass Spectrometry (GC-MS) was used to quantify 5 μl aliquots of headspace gas in 2 ml vials containing 1 ml samples of either 25 μl of 10 mg/ml Xe-ELIP mixed with 975 μl of rabbit blood or 200 μl of 10 mg/ml Xe-ELIP mixed with 800 μl of water. Rat blood samples were drawn directly from a catheterized right carotid artery during IV infusion of 6 mg Xe-ELIP lipid in 0.6 ml saline. After introduction of the samples, each vial was sealed, allowed to equilibrate to 37° C in a temperature-controlled sonicating water bath, followed by 20 minutes of sonication prior to sampling. For uniformity, headspace gas was sampled from the same vertical location in each vial. Concentrations were calculated from a gas dose-response curve and converted to percent xenon, assuming complete equilibration with the headspace. Results were normalized using the published xenon water-gas partition coefficient. </w:t>
                  </w:r>
                  <w:r w:rsidRPr="008746AB">
                    <w:rPr>
                      <w:rFonts w:ascii="Times New Roman" w:eastAsia="Times New Roman" w:hAnsi="Times New Roman" w:cs="Times New Roman"/>
                      <w:b/>
                      <w:bCs/>
                      <w:sz w:val="20"/>
                      <w:szCs w:val="20"/>
                    </w:rPr>
                    <w:t xml:space="preserve">Results: </w:t>
                  </w:r>
                  <w:r w:rsidRPr="008746AB">
                    <w:rPr>
                      <w:rFonts w:ascii="Times New Roman" w:eastAsia="Times New Roman" w:hAnsi="Times New Roman" w:cs="Times New Roman"/>
                      <w:sz w:val="20"/>
                      <w:szCs w:val="20"/>
                    </w:rPr>
                    <w:t xml:space="preserve">The mean corrected percent of xenon from Xe-ELIP released into water was 3.87 ± 0.56% (n = 8), corresponding to 19.3 ± 2.8 μl/mg lipid, which is consistent with previous independent Xe-ELIP measurements. The corresponding xenon content of Xe-ELIP in rabbit blood was 23.38 ± 7.36 (SD, n = 8) μl/mg </w:t>
                  </w:r>
                  <w:proofErr w:type="gramStart"/>
                  <w:r w:rsidRPr="008746AB">
                    <w:rPr>
                      <w:rFonts w:ascii="Times New Roman" w:eastAsia="Times New Roman" w:hAnsi="Times New Roman" w:cs="Times New Roman"/>
                      <w:sz w:val="20"/>
                      <w:szCs w:val="20"/>
                    </w:rPr>
                    <w:t>lipid .</w:t>
                  </w:r>
                  <w:proofErr w:type="gramEnd"/>
                  <w:r w:rsidRPr="008746AB">
                    <w:rPr>
                      <w:rFonts w:ascii="Times New Roman" w:eastAsia="Times New Roman" w:hAnsi="Times New Roman" w:cs="Times New Roman"/>
                      <w:sz w:val="20"/>
                      <w:szCs w:val="20"/>
                    </w:rPr>
                    <w:t xml:space="preserve"> Rat blood xenon concentrations after IV administration of Xe-ELIP were 0.025% and 0.016%, corresponding to 10 and 6 µM, respectively. </w:t>
                  </w:r>
                  <w:r w:rsidRPr="008746AB">
                    <w:rPr>
                      <w:rFonts w:ascii="Times New Roman" w:eastAsia="Times New Roman" w:hAnsi="Times New Roman" w:cs="Times New Roman"/>
                      <w:b/>
                      <w:bCs/>
                      <w:sz w:val="20"/>
                      <w:szCs w:val="20"/>
                    </w:rPr>
                    <w:t xml:space="preserve">Conclusions: </w:t>
                  </w:r>
                  <w:r w:rsidRPr="008746AB">
                    <w:rPr>
                      <w:rFonts w:ascii="Times New Roman" w:eastAsia="Times New Roman" w:hAnsi="Times New Roman" w:cs="Times New Roman"/>
                      <w:sz w:val="20"/>
                      <w:szCs w:val="20"/>
                    </w:rPr>
                    <w:t>Blood concentrations for the anesthetic dose of xenon have been established. Based on previous literature, the proposed concentration conferring xenon’s neuroprotective properties is 20% of the anesthetic dose. The xenon content measured in blood after Xe-ELIP infusion is approximately one-tenth of the projected value. We have observed neuroprotective effects at these blood concentrations. More work will have to be done to determine whether greater neuroprotection can be achieved at higher blood xenon concentrations.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50"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2311765</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Profiling chemical fingerprints of lead-free gunshot residue analogs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Lashaundra Fambro</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lponder3@kennesaw.edu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Lashaundra Fambro</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Ethan Miller</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Wassim Abdul Khalek</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Deidre VanDenbos</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Christopher R. Dockery</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Kennesaw State University, Kennesaw, GA, United States. </w:t>
                  </w:r>
                  <w:r w:rsidRPr="008746AB">
                    <w:rPr>
                      <w:rFonts w:ascii="Times New Roman" w:eastAsia="Times New Roman" w:hAnsi="Times New Roman" w:cs="Times New Roman"/>
                      <w:sz w:val="20"/>
                      <w:szCs w:val="20"/>
                    </w:rPr>
                    <w:br/>
                    <w:t xml:space="preserve">2. Berry College, Mt. Berry, GA,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Modern analysis of inorganic gunshot residue (GSR) relies on the use of three key ingredients; barium nitrate, antimony sulfide, and lead styphnate. However, recent environmental concerns are trending toward an industry-wide shift in the manufacture and distribution of lead-free ammunition. Consequently, this change will require new methods that can be used to fully characterize the composition of lead-free GSR. This study uses laser-induced breakdown spectroscopy (LIBS) and scanning electron microscopy/energy-dispersive x-ray spectroscopy (SEM-EDX) for characterizing simulations of lead-free gunshot residues. Chemical fingerprints for simulated lead-free GSR were used to identify statistically significant analytical markers present in each composition. Rates of error associated with each simulation are determined by leave-one-out cross validation. LIBS proved to be an effective and rapid screening method in the analysis of simulations of lead-free gunshot residues.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51"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2334235</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TITLE: Biocompatible, biodegradable metal-binding cyclic peptides for heavy metal toxicity removal</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Yousef Beni</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bebinam8@gmail.com</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Yousef Beni</w:t>
                  </w:r>
                  <w:r w:rsidRPr="008746AB">
                    <w:rPr>
                      <w:rFonts w:ascii="Times New Roman" w:eastAsia="Times New Roman" w:hAnsi="Times New Roman" w:cs="Times New Roman"/>
                      <w:sz w:val="20"/>
                      <w:szCs w:val="20"/>
                      <w:vertAlign w:val="superscript"/>
                    </w:rPr>
                    <w:t>5</w:t>
                  </w:r>
                  <w:r w:rsidRPr="008746AB">
                    <w:rPr>
                      <w:rFonts w:ascii="Times New Roman" w:eastAsia="Times New Roman" w:hAnsi="Times New Roman" w:cs="Times New Roman"/>
                      <w:sz w:val="20"/>
                      <w:szCs w:val="20"/>
                    </w:rPr>
                    <w:t>, Arpita Yadav</w:t>
                  </w:r>
                  <w:r w:rsidRPr="008746AB">
                    <w:rPr>
                      <w:rFonts w:ascii="Times New Roman" w:eastAsia="Times New Roman" w:hAnsi="Times New Roman" w:cs="Times New Roman"/>
                      <w:sz w:val="20"/>
                      <w:szCs w:val="20"/>
                      <w:vertAlign w:val="superscript"/>
                    </w:rPr>
                    <w:t>3</w:t>
                  </w:r>
                  <w:r w:rsidRPr="008746AB">
                    <w:rPr>
                      <w:rFonts w:ascii="Times New Roman" w:eastAsia="Times New Roman" w:hAnsi="Times New Roman" w:cs="Times New Roman"/>
                      <w:sz w:val="20"/>
                      <w:szCs w:val="20"/>
                    </w:rPr>
                    <w:t>, Antara Banerjee</w:t>
                  </w:r>
                  <w:r w:rsidRPr="008746AB">
                    <w:rPr>
                      <w:rFonts w:ascii="Times New Roman" w:eastAsia="Times New Roman" w:hAnsi="Times New Roman" w:cs="Times New Roman"/>
                      <w:sz w:val="20"/>
                      <w:szCs w:val="20"/>
                      <w:vertAlign w:val="superscript"/>
                    </w:rPr>
                    <w:t>3</w:t>
                  </w:r>
                  <w:r w:rsidRPr="008746AB">
                    <w:rPr>
                      <w:rFonts w:ascii="Times New Roman" w:eastAsia="Times New Roman" w:hAnsi="Times New Roman" w:cs="Times New Roman"/>
                      <w:sz w:val="20"/>
                      <w:szCs w:val="20"/>
                    </w:rPr>
                    <w:t>, Praveen Bhai Patel</w:t>
                  </w:r>
                  <w:r w:rsidRPr="008746AB">
                    <w:rPr>
                      <w:rFonts w:ascii="Times New Roman" w:eastAsia="Times New Roman" w:hAnsi="Times New Roman" w:cs="Times New Roman"/>
                      <w:sz w:val="20"/>
                      <w:szCs w:val="20"/>
                      <w:vertAlign w:val="superscript"/>
                    </w:rPr>
                    <w:t>4</w:t>
                  </w:r>
                  <w:r w:rsidRPr="008746AB">
                    <w:rPr>
                      <w:rFonts w:ascii="Times New Roman" w:eastAsia="Times New Roman" w:hAnsi="Times New Roman" w:cs="Times New Roman"/>
                      <w:sz w:val="20"/>
                      <w:szCs w:val="20"/>
                    </w:rPr>
                    <w:t>, Amir Shirazi</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Keykavous Parang</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School of Pharmacy, Chapman University, Irvine, CA, United States. </w:t>
                  </w:r>
                  <w:r w:rsidRPr="008746AB">
                    <w:rPr>
                      <w:rFonts w:ascii="Times New Roman" w:eastAsia="Times New Roman" w:hAnsi="Times New Roman" w:cs="Times New Roman"/>
                      <w:sz w:val="20"/>
                      <w:szCs w:val="20"/>
                    </w:rPr>
                    <w:br/>
                    <w:t xml:space="preserve">2. Chapman University, Irvine, CA, United States. </w:t>
                  </w:r>
                  <w:r w:rsidRPr="008746AB">
                    <w:rPr>
                      <w:rFonts w:ascii="Times New Roman" w:eastAsia="Times New Roman" w:hAnsi="Times New Roman" w:cs="Times New Roman"/>
                      <w:sz w:val="20"/>
                      <w:szCs w:val="20"/>
                    </w:rPr>
                    <w:br/>
                    <w:t xml:space="preserve">3. Department of Chemistry, Chhatrapati Shahu Ji Maharaj University, Kanpur, India. </w:t>
                  </w:r>
                  <w:r w:rsidRPr="008746AB">
                    <w:rPr>
                      <w:rFonts w:ascii="Times New Roman" w:eastAsia="Times New Roman" w:hAnsi="Times New Roman" w:cs="Times New Roman"/>
                      <w:sz w:val="20"/>
                      <w:szCs w:val="20"/>
                    </w:rPr>
                    <w:br/>
                    <w:t xml:space="preserve">4. Department of Chemical Engineering, Chhatrapati Shahu Ji Maharaj University, Kanpur, India. </w:t>
                  </w:r>
                  <w:r w:rsidRPr="008746AB">
                    <w:rPr>
                      <w:rFonts w:ascii="Times New Roman" w:eastAsia="Times New Roman" w:hAnsi="Times New Roman" w:cs="Times New Roman"/>
                      <w:sz w:val="20"/>
                      <w:szCs w:val="20"/>
                    </w:rPr>
                    <w:br/>
                    <w:t xml:space="preserve">5. Department of Chemistry, Tennessee State University, Nashville, TN,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Arginine and tryptophan rich cyclic peptides, [WR</w:t>
                  </w:r>
                  <w:proofErr w:type="gramStart"/>
                  <w:r w:rsidRPr="008746AB">
                    <w:rPr>
                      <w:rFonts w:ascii="Times New Roman" w:eastAsia="Times New Roman" w:hAnsi="Times New Roman" w:cs="Times New Roman"/>
                      <w:sz w:val="20"/>
                      <w:szCs w:val="20"/>
                    </w:rPr>
                    <w:t>]</w:t>
                  </w:r>
                  <w:r w:rsidRPr="008746AB">
                    <w:rPr>
                      <w:rFonts w:ascii="Times New Roman" w:eastAsia="Times New Roman" w:hAnsi="Times New Roman" w:cs="Times New Roman"/>
                      <w:sz w:val="20"/>
                      <w:szCs w:val="20"/>
                      <w:vertAlign w:val="subscript"/>
                    </w:rPr>
                    <w:t>n</w:t>
                  </w:r>
                  <w:proofErr w:type="gramEnd"/>
                  <w:r w:rsidRPr="008746AB">
                    <w:rPr>
                      <w:rFonts w:ascii="Times New Roman" w:eastAsia="Times New Roman" w:hAnsi="Times New Roman" w:cs="Times New Roman"/>
                      <w:sz w:val="20"/>
                      <w:szCs w:val="20"/>
                    </w:rPr>
                    <w:t xml:space="preserve"> (n = 3-5), were synthesized and evaluated for potential non-covalent coordination with Au(III), Se(IV), and Zn(II). </w:t>
                  </w:r>
                  <w:r w:rsidRPr="008746AB">
                    <w:rPr>
                      <w:rFonts w:ascii="Times New Roman" w:eastAsia="Times New Roman" w:hAnsi="Times New Roman" w:cs="Times New Roman"/>
                      <w:i/>
                      <w:iCs/>
                      <w:sz w:val="20"/>
                      <w:szCs w:val="20"/>
                    </w:rPr>
                    <w:t>Ab initio</w:t>
                  </w:r>
                  <w:r w:rsidRPr="008746AB">
                    <w:rPr>
                      <w:rFonts w:ascii="Times New Roman" w:eastAsia="Times New Roman" w:hAnsi="Times New Roman" w:cs="Times New Roman"/>
                      <w:sz w:val="20"/>
                      <w:szCs w:val="20"/>
                    </w:rPr>
                    <w:t xml:space="preserve"> molecular orbital calculations with complete geometry optimizations were performed to study the efficiency of these peptides in heavy metal non-covalent complexation. The peptides were incubated with metals and their binding affinities were determined by monitoring UV spectrophotometry. Difference absorption spectra of free and metal-bound peptide demonstrated that the absorbance at 275-300 nm can be used to monitor peptide-metal binding. Both the theoretical results and the absorption spectra results are in conformity with 1:1 peptide-metal complex formation and higher binding affinity to Au(III) (K</w:t>
                  </w:r>
                  <w:r w:rsidRPr="008746AB">
                    <w:rPr>
                      <w:rFonts w:ascii="Times New Roman" w:eastAsia="Times New Roman" w:hAnsi="Times New Roman" w:cs="Times New Roman"/>
                      <w:sz w:val="20"/>
                      <w:szCs w:val="20"/>
                      <w:vertAlign w:val="subscript"/>
                    </w:rPr>
                    <w:t>d</w:t>
                  </w:r>
                  <w:r w:rsidRPr="008746AB">
                    <w:rPr>
                      <w:rFonts w:ascii="Times New Roman" w:eastAsia="Times New Roman" w:hAnsi="Times New Roman" w:cs="Times New Roman"/>
                      <w:sz w:val="20"/>
                      <w:szCs w:val="20"/>
                    </w:rPr>
                    <w:t xml:space="preserve"> = 0.6-1.7 nM) and Zn(II) (K</w:t>
                  </w:r>
                  <w:r w:rsidRPr="008746AB">
                    <w:rPr>
                      <w:rFonts w:ascii="Times New Roman" w:eastAsia="Times New Roman" w:hAnsi="Times New Roman" w:cs="Times New Roman"/>
                      <w:sz w:val="20"/>
                      <w:szCs w:val="20"/>
                      <w:vertAlign w:val="subscript"/>
                    </w:rPr>
                    <w:t>d</w:t>
                  </w:r>
                  <w:r w:rsidRPr="008746AB">
                    <w:rPr>
                      <w:rFonts w:ascii="Times New Roman" w:eastAsia="Times New Roman" w:hAnsi="Times New Roman" w:cs="Times New Roman"/>
                      <w:sz w:val="20"/>
                      <w:szCs w:val="20"/>
                    </w:rPr>
                    <w:t xml:space="preserve"> = 3.7-11.2 nM) when compared with Se(IV) (K</w:t>
                  </w:r>
                  <w:r w:rsidRPr="008746AB">
                    <w:rPr>
                      <w:rFonts w:ascii="Times New Roman" w:eastAsia="Times New Roman" w:hAnsi="Times New Roman" w:cs="Times New Roman"/>
                      <w:sz w:val="20"/>
                      <w:szCs w:val="20"/>
                      <w:vertAlign w:val="subscript"/>
                    </w:rPr>
                    <w:t>d</w:t>
                  </w:r>
                  <w:r w:rsidRPr="008746AB">
                    <w:rPr>
                      <w:rFonts w:ascii="Times New Roman" w:eastAsia="Times New Roman" w:hAnsi="Times New Roman" w:cs="Times New Roman"/>
                      <w:sz w:val="20"/>
                      <w:szCs w:val="20"/>
                    </w:rPr>
                    <w:t xml:space="preserve"> = 9.7-31.3 nM). This study provides insights about the structural requirements for generation of cyclic peptide-metal complexes with optimal binding affinity as leads for developing biocompatible drugs for heavy metal toxicity removal.</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52"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2340130</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Analysis of biogenic amines as quality indicators of three fish species commonly consumed in Kuwait</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Alfred Anderson</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alfanders@gmail.com</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Alfred Anderson</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Department of Food Science and Nutrition, Kuwait University, Safat, Kuwait.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Biochemical analyses of three fish species commonly consumed in Kuwait - silver pomfret (</w:t>
                  </w:r>
                  <w:r w:rsidRPr="008746AB">
                    <w:rPr>
                      <w:rFonts w:ascii="Times New Roman" w:eastAsia="Times New Roman" w:hAnsi="Times New Roman" w:cs="Times New Roman"/>
                      <w:i/>
                      <w:iCs/>
                      <w:sz w:val="20"/>
                      <w:szCs w:val="20"/>
                    </w:rPr>
                    <w:t>Pampus argenteus</w:t>
                  </w:r>
                  <w:r w:rsidRPr="008746AB">
                    <w:rPr>
                      <w:rFonts w:ascii="Times New Roman" w:eastAsia="Times New Roman" w:hAnsi="Times New Roman" w:cs="Times New Roman"/>
                      <w:sz w:val="20"/>
                      <w:szCs w:val="20"/>
                    </w:rPr>
                    <w:t>), orange-spotted grouper (</w:t>
                  </w:r>
                  <w:r w:rsidRPr="008746AB">
                    <w:rPr>
                      <w:rFonts w:ascii="Times New Roman" w:eastAsia="Times New Roman" w:hAnsi="Times New Roman" w:cs="Times New Roman"/>
                      <w:i/>
                      <w:iCs/>
                      <w:sz w:val="20"/>
                      <w:szCs w:val="20"/>
                    </w:rPr>
                    <w:t>Epinephelus coioides</w:t>
                  </w:r>
                  <w:r w:rsidRPr="008746AB">
                    <w:rPr>
                      <w:rFonts w:ascii="Times New Roman" w:eastAsia="Times New Roman" w:hAnsi="Times New Roman" w:cs="Times New Roman"/>
                      <w:sz w:val="20"/>
                      <w:szCs w:val="20"/>
                    </w:rPr>
                    <w:t>), and grunt (</w:t>
                  </w:r>
                  <w:r w:rsidRPr="008746AB">
                    <w:rPr>
                      <w:rFonts w:ascii="Times New Roman" w:eastAsia="Times New Roman" w:hAnsi="Times New Roman" w:cs="Times New Roman"/>
                      <w:i/>
                      <w:iCs/>
                      <w:sz w:val="20"/>
                      <w:szCs w:val="20"/>
                    </w:rPr>
                    <w:t>Pomadasys kaakan</w:t>
                  </w:r>
                  <w:r w:rsidRPr="008746AB">
                    <w:rPr>
                      <w:rFonts w:ascii="Times New Roman" w:eastAsia="Times New Roman" w:hAnsi="Times New Roman" w:cs="Times New Roman"/>
                      <w:sz w:val="20"/>
                      <w:szCs w:val="20"/>
                    </w:rPr>
                    <w:t xml:space="preserve">), were performed in relation to the overall quality of fish during normal commercial activities at the fish markets using HPLC. Parameters analyzed included the total volatile basic nitrogen (TVBN), biogenic amines (histidine, cadaverine, and putrescine), </w:t>
                  </w:r>
                  <w:proofErr w:type="gramStart"/>
                  <w:r w:rsidRPr="008746AB">
                    <w:rPr>
                      <w:rFonts w:ascii="Times New Roman" w:eastAsia="Times New Roman" w:hAnsi="Times New Roman" w:cs="Times New Roman"/>
                      <w:sz w:val="20"/>
                      <w:szCs w:val="20"/>
                    </w:rPr>
                    <w:t>trimethylamine</w:t>
                  </w:r>
                  <w:proofErr w:type="gramEnd"/>
                  <w:r w:rsidRPr="008746AB">
                    <w:rPr>
                      <w:rFonts w:ascii="Times New Roman" w:eastAsia="Times New Roman" w:hAnsi="Times New Roman" w:cs="Times New Roman"/>
                      <w:sz w:val="20"/>
                      <w:szCs w:val="20"/>
                    </w:rPr>
                    <w:t xml:space="preserve"> (TMA), and protein degradation patterns. TVBN values increased in all fish species on each day of sampling. Fish samples collected in the morning had lower levels of TVBN ranging from 25.9 ± 0.20 mg/100 g to 30.2 ± 0.58 mg/100 g for all three species compared with the range of 31.2 ± 0.39 mg/100 g to 40.9 ±0.19 mg/100 g for samples collected in the evening. Among all three fish species studied, the silver pomfret (</w:t>
                  </w:r>
                  <w:r w:rsidRPr="008746AB">
                    <w:rPr>
                      <w:rFonts w:ascii="Times New Roman" w:eastAsia="Times New Roman" w:hAnsi="Times New Roman" w:cs="Times New Roman"/>
                      <w:i/>
                      <w:iCs/>
                      <w:sz w:val="20"/>
                      <w:szCs w:val="20"/>
                    </w:rPr>
                    <w:t>Pampus argenteus</w:t>
                  </w:r>
                  <w:r w:rsidRPr="008746AB">
                    <w:rPr>
                      <w:rFonts w:ascii="Times New Roman" w:eastAsia="Times New Roman" w:hAnsi="Times New Roman" w:cs="Times New Roman"/>
                      <w:sz w:val="20"/>
                      <w:szCs w:val="20"/>
                    </w:rPr>
                    <w:t xml:space="preserve">) showed the least levels of TVBN, ranging from 25.9 ± 0.20 mg/100 g to 31.2 ± 0.39 mg/100 g, while grunt </w:t>
                  </w:r>
                  <w:r w:rsidRPr="008746AB">
                    <w:rPr>
                      <w:rFonts w:ascii="Times New Roman" w:eastAsia="Times New Roman" w:hAnsi="Times New Roman" w:cs="Times New Roman"/>
                      <w:i/>
                      <w:iCs/>
                      <w:sz w:val="20"/>
                      <w:szCs w:val="20"/>
                    </w:rPr>
                    <w:t>(Pomadasys kaakan</w:t>
                  </w:r>
                  <w:r w:rsidRPr="008746AB">
                    <w:rPr>
                      <w:rFonts w:ascii="Times New Roman" w:eastAsia="Times New Roman" w:hAnsi="Times New Roman" w:cs="Times New Roman"/>
                      <w:sz w:val="20"/>
                      <w:szCs w:val="20"/>
                    </w:rPr>
                    <w:t>) had the highest levels of TVBN (33.0 ±0.79 mg/100 g - 40.9 ± 0.19 mg/100 g). Biogenic amine levels were also low in the fish species. Electrophoregram of the fish species showed no visible evidence of protein degradation in all the samples during the day. The data from the current study indicate that fish handling practices at Kuwait fish markets do not result in significant abuse of fish temperatures, and that volatile and non volatile amine levels do not rise to levels indicating fish decomposition during normal commercial activity.</w:t>
                  </w:r>
                  <w:r w:rsidRPr="008746AB">
                    <w:rPr>
                      <w:rFonts w:ascii="Times New Roman" w:eastAsia="Times New Roman" w:hAnsi="Times New Roman" w:cs="Times New Roman"/>
                      <w:sz w:val="20"/>
                      <w:szCs w:val="20"/>
                    </w:rPr>
                    <w:br/>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r w:rsidRPr="008746AB">
                    <w:rPr>
                      <w:rFonts w:ascii="Times New Roman" w:eastAsia="Times New Roman" w:hAnsi="Times New Roman" w:cs="Times New Roman"/>
                      <w:sz w:val="20"/>
                      <w:szCs w:val="20"/>
                    </w:rPr>
                    <w:t>Accept</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decisioned_accepted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53"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2343945</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Investigating pyrene levels in water and sediment samples in presence of bioturbators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Febee Louka</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frl6631@louisiana.edu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Febee Louka</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Alfy M. Cazan</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Sommer Osman</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Paul Morandi</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xml:space="preserve">, Marie Hoag </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Paul Klerks</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#44370, University of Louisiana-Lafayette, Lafayette, LA, United States. </w:t>
                  </w:r>
                  <w:r w:rsidRPr="008746AB">
                    <w:rPr>
                      <w:rFonts w:ascii="Times New Roman" w:eastAsia="Times New Roman" w:hAnsi="Times New Roman" w:cs="Times New Roman"/>
                      <w:sz w:val="20"/>
                      <w:szCs w:val="20"/>
                    </w:rPr>
                    <w:br/>
                    <w:t xml:space="preserve">2. Chemistry, Université de Poitiers, Poitiers, France.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 xml:space="preserve">Pyrene is one of the polycyclic aromatic hydrocarbons, PAHs. This group of pollutants is found naturally in the environment. They are usually associated with oil spills. Exposure to pyrene as one of the PAHs target organs like kidneys, liver and fat, causing kidney and liver damage. </w:t>
                  </w:r>
                  <w:proofErr w:type="gramStart"/>
                  <w:r w:rsidRPr="008746AB">
                    <w:rPr>
                      <w:rFonts w:ascii="Times New Roman" w:eastAsia="Times New Roman" w:hAnsi="Times New Roman" w:cs="Times New Roman"/>
                      <w:sz w:val="20"/>
                      <w:szCs w:val="20"/>
                    </w:rPr>
                    <w:t>Benzo(</w:t>
                  </w:r>
                  <w:proofErr w:type="gramEnd"/>
                  <w:r w:rsidRPr="008746AB">
                    <w:rPr>
                      <w:rFonts w:ascii="Times New Roman" w:eastAsia="Times New Roman" w:hAnsi="Times New Roman" w:cs="Times New Roman"/>
                      <w:sz w:val="20"/>
                      <w:szCs w:val="20"/>
                    </w:rPr>
                    <w:t>a)pyrene is the most common PAH to cause cancer is formed from pyrene. In the present study, greenhouse mesocosms containing field-collected clean water and sediment. Controlled in-lab sediment pyrene dosing was done in presence of bioturbators (the ghost shrimp Lepidophthalmus louisianensis introducing it on the sediment surface of the mesocosms. These marine bioturbators are abundant; they move a lot of sediment, and initiate the exchange of water within the sediment and between the sediment and the water column. Pyrene concentrations were determined or the razor clams Tagelus plebeius) the most-abundant bioturbators on the Gulf Coast. Liquid-liquid extraction was used to monitor the concentration of pyrene in overlying water. Microwave Extraction was used to determine the pyrene concentration in sediments (surface &amp; subsurface) was extracted; finally samples were analyzed using gas chromatography with flame ionization detector (GC-FID). The ghost shrimp and razor clams affect the distribution and biodegradation of pyrene. It was observed that the presence of such type of marine animals, especially the ghost shrimp enhanced the rate of decline in pyrene concentration in the surface sediment.</w:t>
                  </w:r>
                  <w:r w:rsidRPr="008746AB">
                    <w:rPr>
                      <w:rFonts w:ascii="Times New Roman" w:eastAsia="Times New Roman" w:hAnsi="Times New Roman" w:cs="Times New Roman"/>
                      <w:sz w:val="20"/>
                      <w:szCs w:val="20"/>
                    </w:rPr>
                    <w:br/>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54"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2344026</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Study of the photocatalytic degradation of p-aminobenzoic acid with as-synthesized and commercial TiO</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 A comparative study</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Loraine Soto-Vazquez</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lorainesoto@gmail.com</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Loraine M. Soto-Vazquez</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School of Natural Sciences and Technology, Turabo University, San Juan, PR,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The photocatalytic degradation of p-aminobenzoic acid was studied using TiO</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 xml:space="preserve"> nanowires synthesized by a hydrothermal procedure as catalyst. The as-synthesized TiO</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 xml:space="preserve"> nanowires were fully characterized by SEM, XRD and Raman. A very high surface area </w:t>
                  </w:r>
                  <w:proofErr w:type="gramStart"/>
                  <w:r w:rsidRPr="008746AB">
                    <w:rPr>
                      <w:rFonts w:ascii="Times New Roman" w:eastAsia="Times New Roman" w:hAnsi="Times New Roman" w:cs="Times New Roman"/>
                      <w:sz w:val="20"/>
                      <w:szCs w:val="20"/>
                    </w:rPr>
                    <w:t>of 512 m</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g</w:t>
                  </w:r>
                  <w:r w:rsidRPr="008746AB">
                    <w:rPr>
                      <w:rFonts w:ascii="Times New Roman" w:eastAsia="Times New Roman" w:hAnsi="Times New Roman" w:cs="Times New Roman"/>
                      <w:sz w:val="20"/>
                      <w:szCs w:val="20"/>
                      <w:vertAlign w:val="superscript"/>
                    </w:rPr>
                    <w:t>-1</w:t>
                  </w:r>
                  <w:proofErr w:type="gramEnd"/>
                  <w:r w:rsidRPr="008746AB">
                    <w:rPr>
                      <w:rFonts w:ascii="Times New Roman" w:eastAsia="Times New Roman" w:hAnsi="Times New Roman" w:cs="Times New Roman"/>
                      <w:sz w:val="20"/>
                      <w:szCs w:val="20"/>
                      <w:vertAlign w:val="superscript"/>
                    </w:rPr>
                    <w:t xml:space="preserve"> </w:t>
                  </w:r>
                  <w:r w:rsidRPr="008746AB">
                    <w:rPr>
                      <w:rFonts w:ascii="Times New Roman" w:eastAsia="Times New Roman" w:hAnsi="Times New Roman" w:cs="Times New Roman"/>
                      <w:sz w:val="20"/>
                      <w:szCs w:val="20"/>
                    </w:rPr>
                    <w:t xml:space="preserve">was determined. The photocatalytic degradation of p-aminobenzoic acid was carried out </w:t>
                  </w:r>
                  <w:proofErr w:type="gramStart"/>
                  <w:r w:rsidRPr="008746AB">
                    <w:rPr>
                      <w:rFonts w:ascii="Times New Roman" w:eastAsia="Times New Roman" w:hAnsi="Times New Roman" w:cs="Times New Roman"/>
                      <w:sz w:val="20"/>
                      <w:szCs w:val="20"/>
                    </w:rPr>
                    <w:t>under</w:t>
                  </w:r>
                  <w:proofErr w:type="gramEnd"/>
                  <w:r w:rsidRPr="008746AB">
                    <w:rPr>
                      <w:rFonts w:ascii="Times New Roman" w:eastAsia="Times New Roman" w:hAnsi="Times New Roman" w:cs="Times New Roman"/>
                      <w:sz w:val="20"/>
                      <w:szCs w:val="20"/>
                    </w:rPr>
                    <w:t xml:space="preserve"> 180 minutes of constant radiation and the results were compared with P25 as commercial catalyst. Optimal experimental conditions were determined for TiO</w:t>
                  </w:r>
                  <w:r w:rsidRPr="008746AB">
                    <w:rPr>
                      <w:rFonts w:ascii="Times New Roman" w:eastAsia="Times New Roman" w:hAnsi="Times New Roman" w:cs="Times New Roman"/>
                      <w:sz w:val="20"/>
                      <w:szCs w:val="20"/>
                      <w:vertAlign w:val="subscript"/>
                    </w:rPr>
                    <w:t xml:space="preserve">2 </w:t>
                  </w:r>
                  <w:r w:rsidRPr="008746AB">
                    <w:rPr>
                      <w:rFonts w:ascii="Times New Roman" w:eastAsia="Times New Roman" w:hAnsi="Times New Roman" w:cs="Times New Roman"/>
                      <w:sz w:val="20"/>
                      <w:szCs w:val="20"/>
                    </w:rPr>
                    <w:t>nanowires with a catalyst dosage of 1.0 gL</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xml:space="preserve"> under acidic conditions with a 20 µM p-aminobenzoic acid solution obtaining 95% of degradation. Under similar experimental conditions comparative studies were performed obtaining 98% of degradation when P25 is employed. A pseudo first order reaction was determined for both systems with constant rates of 2.0 x 10</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xml:space="preserve"> min</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xml:space="preserve"> and 2.4 x 10</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xml:space="preserve"> min</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xml:space="preserve"> for TiO</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 xml:space="preserve"> nanowires and P25, respectively.</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55"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2352415</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Construction of a semiconduction-biological interface for solar energy conversion: p-doped silicon/photosystem i/zinc oxide</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Jeremiah Beam</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jeremiah.c.beam@vanderbilt.edu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Jeremiah Beam</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Gabriel LeBlanc</w:t>
                  </w:r>
                  <w:r w:rsidRPr="008746AB">
                    <w:rPr>
                      <w:rFonts w:ascii="Times New Roman" w:eastAsia="Times New Roman" w:hAnsi="Times New Roman" w:cs="Times New Roman"/>
                      <w:sz w:val="20"/>
                      <w:szCs w:val="20"/>
                      <w:vertAlign w:val="superscript"/>
                    </w:rPr>
                    <w:t>6</w:t>
                  </w:r>
                  <w:r w:rsidRPr="008746AB">
                    <w:rPr>
                      <w:rFonts w:ascii="Times New Roman" w:eastAsia="Times New Roman" w:hAnsi="Times New Roman" w:cs="Times New Roman"/>
                      <w:sz w:val="20"/>
                      <w:szCs w:val="20"/>
                    </w:rPr>
                    <w:t>, Evan A. Gizzie</w:t>
                  </w:r>
                  <w:r w:rsidRPr="008746AB">
                    <w:rPr>
                      <w:rFonts w:ascii="Times New Roman" w:eastAsia="Times New Roman" w:hAnsi="Times New Roman" w:cs="Times New Roman"/>
                      <w:sz w:val="20"/>
                      <w:szCs w:val="20"/>
                      <w:vertAlign w:val="superscript"/>
                    </w:rPr>
                    <w:t>4</w:t>
                  </w:r>
                  <w:r w:rsidRPr="008746AB">
                    <w:rPr>
                      <w:rFonts w:ascii="Times New Roman" w:eastAsia="Times New Roman" w:hAnsi="Times New Roman" w:cs="Times New Roman"/>
                      <w:sz w:val="20"/>
                      <w:szCs w:val="20"/>
                    </w:rPr>
                    <w:t>, Borislav L. Ivanov</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G. Kane Jennings</w:t>
                  </w:r>
                  <w:r w:rsidRPr="008746AB">
                    <w:rPr>
                      <w:rFonts w:ascii="Times New Roman" w:eastAsia="Times New Roman" w:hAnsi="Times New Roman" w:cs="Times New Roman"/>
                      <w:sz w:val="20"/>
                      <w:szCs w:val="20"/>
                      <w:vertAlign w:val="superscript"/>
                    </w:rPr>
                    <w:t>5</w:t>
                  </w:r>
                  <w:r w:rsidRPr="008746AB">
                    <w:rPr>
                      <w:rFonts w:ascii="Times New Roman" w:eastAsia="Times New Roman" w:hAnsi="Times New Roman" w:cs="Times New Roman"/>
                      <w:sz w:val="20"/>
                      <w:szCs w:val="20"/>
                    </w:rPr>
                    <w:t>, Charles M. Lukehart</w:t>
                  </w:r>
                  <w:r w:rsidRPr="008746AB">
                    <w:rPr>
                      <w:rFonts w:ascii="Times New Roman" w:eastAsia="Times New Roman" w:hAnsi="Times New Roman" w:cs="Times New Roman"/>
                      <w:sz w:val="20"/>
                      <w:szCs w:val="20"/>
                      <w:vertAlign w:val="superscript"/>
                    </w:rPr>
                    <w:t>7</w:t>
                  </w:r>
                  <w:r w:rsidRPr="008746AB">
                    <w:rPr>
                      <w:rFonts w:ascii="Times New Roman" w:eastAsia="Times New Roman" w:hAnsi="Times New Roman" w:cs="Times New Roman"/>
                      <w:sz w:val="20"/>
                      <w:szCs w:val="20"/>
                    </w:rPr>
                    <w:t>, David E. Cliffel</w:t>
                  </w:r>
                  <w:r w:rsidRPr="008746AB">
                    <w:rPr>
                      <w:rFonts w:ascii="Times New Roman" w:eastAsia="Times New Roman" w:hAnsi="Times New Roman" w:cs="Times New Roman"/>
                      <w:sz w:val="20"/>
                      <w:szCs w:val="20"/>
                      <w:vertAlign w:val="superscript"/>
                    </w:rPr>
                    <w:t>3</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Vanderbilt Univ, Nashville, TN, United States. </w:t>
                  </w:r>
                  <w:r w:rsidRPr="008746AB">
                    <w:rPr>
                      <w:rFonts w:ascii="Times New Roman" w:eastAsia="Times New Roman" w:hAnsi="Times New Roman" w:cs="Times New Roman"/>
                      <w:sz w:val="20"/>
                      <w:szCs w:val="20"/>
                    </w:rPr>
                    <w:br/>
                    <w:t xml:space="preserve">2. Vanderbilt University, Nashville, TN, United States. </w:t>
                  </w:r>
                  <w:r w:rsidRPr="008746AB">
                    <w:rPr>
                      <w:rFonts w:ascii="Times New Roman" w:eastAsia="Times New Roman" w:hAnsi="Times New Roman" w:cs="Times New Roman"/>
                      <w:sz w:val="20"/>
                      <w:szCs w:val="20"/>
                    </w:rPr>
                    <w:br/>
                    <w:t xml:space="preserve">3. Chemistry, Vanderbilt University, Nashville, TN, United States. </w:t>
                  </w:r>
                  <w:r w:rsidRPr="008746AB">
                    <w:rPr>
                      <w:rFonts w:ascii="Times New Roman" w:eastAsia="Times New Roman" w:hAnsi="Times New Roman" w:cs="Times New Roman"/>
                      <w:sz w:val="20"/>
                      <w:szCs w:val="20"/>
                    </w:rPr>
                    <w:br/>
                    <w:t xml:space="preserve">4. Department of Chemistry, Vanderbilt University, Nashville, TN, United States. </w:t>
                  </w:r>
                  <w:r w:rsidRPr="008746AB">
                    <w:rPr>
                      <w:rFonts w:ascii="Times New Roman" w:eastAsia="Times New Roman" w:hAnsi="Times New Roman" w:cs="Times New Roman"/>
                      <w:sz w:val="20"/>
                      <w:szCs w:val="20"/>
                    </w:rPr>
                    <w:br/>
                    <w:t xml:space="preserve">5. Dept. of Chemical Biomolecular Engineering, Vanderbilt University, Nashville, TN, United States. </w:t>
                  </w:r>
                  <w:r w:rsidRPr="008746AB">
                    <w:rPr>
                      <w:rFonts w:ascii="Times New Roman" w:eastAsia="Times New Roman" w:hAnsi="Times New Roman" w:cs="Times New Roman"/>
                      <w:sz w:val="20"/>
                      <w:szCs w:val="20"/>
                    </w:rPr>
                    <w:br/>
                    <w:t xml:space="preserve">6. Vanderbilt University, Nashville, TN, United States. </w:t>
                  </w:r>
                  <w:r w:rsidRPr="008746AB">
                    <w:rPr>
                      <w:rFonts w:ascii="Times New Roman" w:eastAsia="Times New Roman" w:hAnsi="Times New Roman" w:cs="Times New Roman"/>
                      <w:sz w:val="20"/>
                      <w:szCs w:val="20"/>
                    </w:rPr>
                    <w:br/>
                    <w:t xml:space="preserve">7. Vanderbilt University, Nashville, TN,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Preferred</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The interface between photoactive biological materials with two distinct semiconducting electrodes is challenging to both develop and analyze. Building off our previous work using films of Photosystem I (PSI) on p-doped silicon, we have deposited a crystalline zinc oxide (ZnO) anode using confined-plume chemical deposition (CPCD). We demonstrate the ability of CPCD to deposit crystalline ZnO without damage to the PSI biomaterial. Using electrochemical techniques, we were able to probe this complex semiconductor-biological interface. Finally, as a proof of concept, a solid state photovoltaic device consisting of p-doped silicon, PSI, ZnO, and ITO was constructed and evaluated.</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56"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2357309</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An electrochemical platform for real-time metabolic profiling in liver-on-chip systems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Evan Gizzie</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evan.a.gizzie@vanderbilt.edu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Evan A. Gizzie</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David E. Cliffel</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Department of Chemistry, Vanderbilt University, Nashville, TN,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Preferred</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i/>
                      <w:iCs/>
                      <w:sz w:val="20"/>
                      <w:szCs w:val="20"/>
                    </w:rPr>
                    <w:t>In vitro</w:t>
                  </w:r>
                  <w:r w:rsidRPr="008746AB">
                    <w:rPr>
                      <w:rFonts w:ascii="Times New Roman" w:eastAsia="Times New Roman" w:hAnsi="Times New Roman" w:cs="Times New Roman"/>
                      <w:sz w:val="20"/>
                      <w:szCs w:val="20"/>
                    </w:rPr>
                    <w:t xml:space="preserve"> analysis of organ systems following exposure to exogenous toxins and drugs is of extreme importance in the development of novel therapeutics, particularly in regard to hepatoxicity. The liver is highly susceptible to damage based on its role as a metabolic center in the human body. For this reason, effective metabolite analysis of liver-on-chip systems is essential to accurately predict </w:t>
                  </w:r>
                  <w:r w:rsidRPr="008746AB">
                    <w:rPr>
                      <w:rFonts w:ascii="Times New Roman" w:eastAsia="Times New Roman" w:hAnsi="Times New Roman" w:cs="Times New Roman"/>
                      <w:i/>
                      <w:iCs/>
                      <w:sz w:val="20"/>
                      <w:szCs w:val="20"/>
                    </w:rPr>
                    <w:t>in vivo</w:t>
                  </w:r>
                  <w:r w:rsidRPr="008746AB">
                    <w:rPr>
                      <w:rFonts w:ascii="Times New Roman" w:eastAsia="Times New Roman" w:hAnsi="Times New Roman" w:cs="Times New Roman"/>
                      <w:sz w:val="20"/>
                      <w:szCs w:val="20"/>
                    </w:rPr>
                    <w:t xml:space="preserve"> response to therapeutics. In the work presented here, we describe the development of an amperometric sensor platform designed to monitor changes in glucose, lactate, oxygen uptake, and pH downstream from a liver bioreactor. Based on the inherent redox activity of many bioactive drugs of interest, these measurements have traditionally been impossible with electrochemical sensors. However, the sensor platform here has been modified with a series of Os-containing redox polymers and oxidase enzymes to operate at a lower electrode bias, outside the electrochemical window of interfering drug compounds. Acetaminophen (APAP), a common pharmaceutical and liver toxin, was used herein to validate the insensitivity of the multianalyte sensor platform to background interference. Using this novel multianalyte biosensor, conditioned media from hepatocytes exposed to 10 mM APAP was analyzed. Further, the utility of this platform was extended to additional known electrochemically active liver toxins to verify the insensitivity of this sensor to these interferents. </w:t>
                  </w:r>
                  <w:r w:rsidRPr="008746AB">
                    <w:rPr>
                      <w:rFonts w:ascii="Times New Roman" w:eastAsia="Times New Roman" w:hAnsi="Times New Roman" w:cs="Times New Roman"/>
                      <w:sz w:val="20"/>
                      <w:szCs w:val="20"/>
                    </w:rPr>
                    <w:br/>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57"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2358265</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Fabrication and characterization of the micro-impedance detector for enumeration of circulating tumor cell</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John Watters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Watters16j@ncssm.edu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John Watters</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North Carolina School of Science and Mathematics, Raleigh, NC,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Preferred</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 xml:space="preserve">Currently the only FDA approved device to count Circulating Tumor Cells (CTC) is the CellSearch system. The Soper Research Group has created microfluidic devices that allow a greater clinical sensitivity for a wider range of cancers, and is working to make a mass producible system. To do this, a new impedance detector needs to be designed and tested. In this report, a new generation impedance module was fabricated and different bonding strategies for the modules were analyzed. The types of bonding that were tested </w:t>
                  </w:r>
                  <w:proofErr w:type="gramStart"/>
                  <w:r w:rsidRPr="008746AB">
                    <w:rPr>
                      <w:rFonts w:ascii="Times New Roman" w:eastAsia="Times New Roman" w:hAnsi="Times New Roman" w:cs="Times New Roman"/>
                      <w:sz w:val="20"/>
                      <w:szCs w:val="20"/>
                    </w:rPr>
                    <w:t>includes</w:t>
                  </w:r>
                  <w:proofErr w:type="gramEnd"/>
                  <w:r w:rsidRPr="008746AB">
                    <w:rPr>
                      <w:rFonts w:ascii="Times New Roman" w:eastAsia="Times New Roman" w:hAnsi="Times New Roman" w:cs="Times New Roman"/>
                      <w:sz w:val="20"/>
                      <w:szCs w:val="20"/>
                    </w:rPr>
                    <w:t xml:space="preserve"> UV-activated glue, solvent bonding, and thermo-fusion bonding. Due to a higher reproducibility, thermo-fusion bonding was chosen as the optimal route and used for the rest of this research. The new generation module was more sensitive to direct changes in solution conductance than the first generation module in approximately a 1.3:1 ratio of ΔV, and showed a larger relative response to 15 µm beads. Proof of concept of sensing HeLa 60 cells was achieved and compared to the first generation module. This data supports the conclusion that the new generation impedance module is similar in performance to the first generation device, but more easily mass fabricated, and therefore favorable for the CTC counting device.</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58"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2358288</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TITLE: Imaging of lipids in the ocular vitreous humor using matrix-assisted laser desorption ionization-mass spectrometry.</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Abby Schnepf</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aschnepf01@gmail.com</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Abby Schnepf</w:t>
                  </w:r>
                  <w:r w:rsidRPr="008746AB">
                    <w:rPr>
                      <w:rFonts w:ascii="Times New Roman" w:eastAsia="Times New Roman" w:hAnsi="Times New Roman" w:cs="Times New Roman"/>
                      <w:sz w:val="20"/>
                      <w:szCs w:val="20"/>
                      <w:vertAlign w:val="superscript"/>
                    </w:rPr>
                    <w:t>3</w:t>
                  </w:r>
                  <w:r w:rsidRPr="008746AB">
                    <w:rPr>
                      <w:rFonts w:ascii="Times New Roman" w:eastAsia="Times New Roman" w:hAnsi="Times New Roman" w:cs="Times New Roman"/>
                      <w:sz w:val="20"/>
                      <w:szCs w:val="20"/>
                    </w:rPr>
                    <w:t>, Marta C. Yappert</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Douglas Borchman</w:t>
                  </w:r>
                  <w:r w:rsidRPr="008746AB">
                    <w:rPr>
                      <w:rFonts w:ascii="Times New Roman" w:eastAsia="Times New Roman" w:hAnsi="Times New Roman" w:cs="Times New Roman"/>
                      <w:sz w:val="20"/>
                      <w:szCs w:val="20"/>
                      <w:vertAlign w:val="superscript"/>
                    </w:rPr>
                    <w:t>2</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Univ of Louisville, Louisville, KY, United States. </w:t>
                  </w:r>
                  <w:r w:rsidRPr="008746AB">
                    <w:rPr>
                      <w:rFonts w:ascii="Times New Roman" w:eastAsia="Times New Roman" w:hAnsi="Times New Roman" w:cs="Times New Roman"/>
                      <w:sz w:val="20"/>
                      <w:szCs w:val="20"/>
                    </w:rPr>
                    <w:br/>
                    <w:t xml:space="preserve">2. </w:t>
                  </w:r>
                  <w:proofErr w:type="gramStart"/>
                  <w:r w:rsidRPr="008746AB">
                    <w:rPr>
                      <w:rFonts w:ascii="Times New Roman" w:eastAsia="Times New Roman" w:hAnsi="Times New Roman" w:cs="Times New Roman"/>
                      <w:sz w:val="20"/>
                      <w:szCs w:val="20"/>
                    </w:rPr>
                    <w:t>Opthalmology ,</w:t>
                  </w:r>
                  <w:proofErr w:type="gramEnd"/>
                  <w:r w:rsidRPr="008746AB">
                    <w:rPr>
                      <w:rFonts w:ascii="Times New Roman" w:eastAsia="Times New Roman" w:hAnsi="Times New Roman" w:cs="Times New Roman"/>
                      <w:sz w:val="20"/>
                      <w:szCs w:val="20"/>
                    </w:rPr>
                    <w:t xml:space="preserve"> Univ of Louisville, Louisville, KY, United States. </w:t>
                  </w:r>
                  <w:r w:rsidRPr="008746AB">
                    <w:rPr>
                      <w:rFonts w:ascii="Times New Roman" w:eastAsia="Times New Roman" w:hAnsi="Times New Roman" w:cs="Times New Roman"/>
                      <w:sz w:val="20"/>
                      <w:szCs w:val="20"/>
                    </w:rPr>
                    <w:br/>
                    <w:t xml:space="preserve">3. Chemistry, University of Louisville, Louisville, KY,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Preferred</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 xml:space="preserve">The vitreous humor (VH) of mammalian eyes makes up 80% of the ocular volume. Despite its high levels of water (~98%), it exhibits a gel-like consistency due of the network formed by the highly hydrophilic hyaluronan and collagen fibrils. Aging leads to the progressive liquefaction of the VH and may result in vitreal and/or retinal detachment. The cause(s) of liquefaction is still unknown. To address this issue, it is important to explore possible chemical changes that may contribute to liquefaction. Our hypothesis is that phospholipids (PLs) and their metabolites derived from lenticular and/or retina cell may interrupt this network. We have developed an imaging method to detect PLs using matrix-assisted laser desorption ionization-mass spectrometry imaging (MALDI-MSI). To test this approach, the VH of frozen porcine eyes were cut in half and stamped on a MALDI plate coated by dipping it in a solution of </w:t>
                  </w:r>
                  <w:r w:rsidRPr="008746AB">
                    <w:rPr>
                      <w:rFonts w:ascii="Times New Roman" w:eastAsia="Times New Roman" w:hAnsi="Times New Roman" w:cs="Times New Roman"/>
                      <w:i/>
                      <w:iCs/>
                      <w:sz w:val="20"/>
                      <w:szCs w:val="20"/>
                    </w:rPr>
                    <w:t>para</w:t>
                  </w:r>
                  <w:r w:rsidRPr="008746AB">
                    <w:rPr>
                      <w:rFonts w:ascii="Times New Roman" w:eastAsia="Times New Roman" w:hAnsi="Times New Roman" w:cs="Times New Roman"/>
                      <w:sz w:val="20"/>
                      <w:szCs w:val="20"/>
                    </w:rPr>
                    <w:t>-nitro aniline (PNA) (23 mg/mL of methanol) as the matrix. The plate was then dried to create a homogeneous layer of matrix. MALDI-MS was applied and the images revealed that the main PLs in the VH were phosphatidylcholines (PC), particularly PC (34:1) (see Figure 1). Sphingomyelin was also observed but in much smaller quantities. Although PNA is known to sublime under vacuum, our studies show that PNA remains attached to the sample for the entire acquisition time. This method allows for the regional detection of PLs (and other species) present in the VH and will enable the testing of our hypothesis that age-dependent lipid compositional changes contribute to liquefaction.</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59"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2358358</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vertAlign w:val="superscript"/>
                    </w:rPr>
                    <w:t>31</w:t>
                  </w:r>
                  <w:r w:rsidRPr="008746AB">
                    <w:rPr>
                      <w:rFonts w:ascii="Times New Roman" w:eastAsia="Times New Roman" w:hAnsi="Times New Roman" w:cs="Times New Roman"/>
                      <w:sz w:val="20"/>
                      <w:szCs w:val="20"/>
                    </w:rPr>
                    <w:t>P NMR characterization of chitosan phosphorylation</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Dakota Suchyta</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dsuchyta@umich.edu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Dakota J. Suchyta</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Mark Schoenfisch</w:t>
                  </w:r>
                  <w:r w:rsidRPr="008746AB">
                    <w:rPr>
                      <w:rFonts w:ascii="Times New Roman" w:eastAsia="Times New Roman" w:hAnsi="Times New Roman" w:cs="Times New Roman"/>
                      <w:sz w:val="20"/>
                      <w:szCs w:val="20"/>
                      <w:vertAlign w:val="superscript"/>
                    </w:rPr>
                    <w:t>2</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Chemistry, University of North Carolina-Chapel Hill, Chapel Hill, NC, United States. </w:t>
                  </w:r>
                  <w:r w:rsidRPr="008746AB">
                    <w:rPr>
                      <w:rFonts w:ascii="Times New Roman" w:eastAsia="Times New Roman" w:hAnsi="Times New Roman" w:cs="Times New Roman"/>
                      <w:sz w:val="20"/>
                      <w:szCs w:val="20"/>
                    </w:rPr>
                    <w:br/>
                    <w:t xml:space="preserve">2. Chemistry, University of North Carolina-Chapel Hill, Chapel Hill, NC,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Preferred</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 xml:space="preserve">The movement towards more biocompatible and biodegradable materials has emphasized the utility of chitosan, a polymer derived from crustacean shells. As a linear polysaccharide of primarily D-glucosamine units, biodegradability is an innate property of chitosan, enabling its use as either a biomaterial or drug delivery vehicle. However, chitosan’s poor solubility and net positive charge are problematic for therapeutic applications. One solution for circumventing these issues involved adding phosphate to the polymer backbone. Phosphorylation allows for fine-tuning of the overall charge (from positive to neutral or negative) while simultaneously improving solubility in aqueous solutions. Although prior work has demonstrated successful chitosan phosphorylation, such studies generally lack </w:t>
                  </w:r>
                  <w:r w:rsidRPr="008746AB">
                    <w:rPr>
                      <w:rFonts w:ascii="Times New Roman" w:eastAsia="Times New Roman" w:hAnsi="Times New Roman" w:cs="Times New Roman"/>
                      <w:sz w:val="20"/>
                      <w:szCs w:val="20"/>
                      <w:vertAlign w:val="superscript"/>
                    </w:rPr>
                    <w:t>31</w:t>
                  </w:r>
                  <w:r w:rsidRPr="008746AB">
                    <w:rPr>
                      <w:rFonts w:ascii="Times New Roman" w:eastAsia="Times New Roman" w:hAnsi="Times New Roman" w:cs="Times New Roman"/>
                      <w:sz w:val="20"/>
                      <w:szCs w:val="20"/>
                    </w:rPr>
                    <w:t xml:space="preserve">P nuclear magnetic resonance (NMR) characterization. In fact, no study to date has evaluated the types of phosphates (e.g., ionically-bound, monoesters, polyphosphates) appended to the backbone and/or correlated such information to solubility or other beneficial characteristics (e.g., chelate calcium ions). In this study, we assessed the formation of phosphorylated chitosan by methanesulfonic acid and phosphorus pentoxide using X-ray photoelectron spectroscopy (XPS), and </w:t>
                  </w:r>
                  <w:r w:rsidRPr="008746AB">
                    <w:rPr>
                      <w:rFonts w:ascii="Times New Roman" w:eastAsia="Times New Roman" w:hAnsi="Times New Roman" w:cs="Times New Roman"/>
                      <w:sz w:val="20"/>
                      <w:szCs w:val="20"/>
                      <w:vertAlign w:val="superscript"/>
                    </w:rPr>
                    <w:t>31</w:t>
                  </w:r>
                  <w:r w:rsidRPr="008746AB">
                    <w:rPr>
                      <w:rFonts w:ascii="Times New Roman" w:eastAsia="Times New Roman" w:hAnsi="Times New Roman" w:cs="Times New Roman"/>
                      <w:sz w:val="20"/>
                      <w:szCs w:val="20"/>
                    </w:rPr>
                    <w:t xml:space="preserve">P, </w:t>
                  </w:r>
                  <w:r w:rsidRPr="008746AB">
                    <w:rPr>
                      <w:rFonts w:ascii="Times New Roman" w:eastAsia="Times New Roman" w:hAnsi="Times New Roman" w:cs="Times New Roman"/>
                      <w:sz w:val="20"/>
                      <w:szCs w:val="20"/>
                      <w:vertAlign w:val="superscript"/>
                    </w:rPr>
                    <w:t>13</w:t>
                  </w:r>
                  <w:r w:rsidRPr="008746AB">
                    <w:rPr>
                      <w:rFonts w:ascii="Times New Roman" w:eastAsia="Times New Roman" w:hAnsi="Times New Roman" w:cs="Times New Roman"/>
                      <w:sz w:val="20"/>
                      <w:szCs w:val="20"/>
                    </w:rPr>
                    <w:t xml:space="preserve">C, and </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H NMR spectroscopy. The approach and results of this work should prove helpful for other materials requiring phosphorylation.</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resubmitted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60"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2359640</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The simple approach to measuring calcium via ICP-MS</w:t>
                  </w:r>
                  <w:r w:rsidRPr="008746AB">
                    <w:rPr>
                      <w:rFonts w:ascii="Times New Roman" w:eastAsia="Times New Roman" w:hAnsi="Times New Roman" w:cs="Times New Roman"/>
                      <w:sz w:val="20"/>
                      <w:szCs w:val="20"/>
                    </w:rPr>
                    <w:br/>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Nayiby Scott</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nayiby.scott@gmail.com</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Nayiby Scott</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Fred Meadows</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Analytical, Kemira, Atlanta, GA,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Several methods for the determination of Ca via ICP-MS have been developed throughout the years, including the use of “cold” plasma, isotope dilution ICP-MS and multi-collector ICP-MS. These methods have proven to measure Ca accurately however they require complicated sample preparation or additional equipment for the analysis to be performed. We present a simple approach to measure Ca via ICP-MS without complicated sample preparation by calibrating the instrument with a Ca standard and shifting the mass balance towards 51 instead of the center point of 60. A NIST 1640a calibration standard was used for repeated measurements throughout several runs (n=6) to confirm the accuracy, reproducibility and repeatability of the method. The standard value for Ca in NIST 1640a was 5.615 ± 0.021 mg/L compared to an average 6.17 ± 0.55 mg/L measured. Considering that the general mode at mass balance of 60 gives a percent yield of 13 ± 2%, the mass balance shift and the use of a Ca standard to calibrate proves to be an improvement in the measurement of Ca (percent yield 114 ± 10 %).</w:t>
                  </w:r>
                  <w:r w:rsidRPr="008746AB">
                    <w:rPr>
                      <w:rFonts w:ascii="Times New Roman" w:eastAsia="Times New Roman" w:hAnsi="Times New Roman" w:cs="Times New Roman"/>
                      <w:sz w:val="20"/>
                      <w:szCs w:val="20"/>
                    </w:rPr>
                    <w:br/>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61"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2360007</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TITLE: Effect of blood and an oxidation agent on a novel cyanide antidote</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Xinmei Dong | Tibor Barcza | Lorand Kiss | Reny Roy | Ilona Petrikovics | David Thompson</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dongxinmei@gmail.com | tbarcza@gmail.com | lorand.kiss.work@gmail.com | r.jacobroy@gmail.com | ixp004@shsu.edu | det002@shsu.edu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Xinmei Dong</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Tibor Barcza</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Lorand Kiss</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Reny J. Roy</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Ilona Petrikovics</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David Thompson</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chemistry, Sam Houston State University, Huntsville, TX,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 xml:space="preserve">Cyanide (CN) is highly toxic and hazardous to cells. CN inhibits the activity of the enzyme cytochrome c oxidase and therefore impairs oxygen utilization and ATP production. Antidotes for CN have been developed, such as sodium thiosulfate or hydroxocobalamin, to counteract cyanide intoxication. However, each antidote has some disadvantages. Sulfur Donor X (SDX), our novel cyanide antidote, has shown greater </w:t>
                  </w:r>
                  <w:r w:rsidRPr="008746AB">
                    <w:rPr>
                      <w:rFonts w:ascii="Times New Roman" w:eastAsia="Times New Roman" w:hAnsi="Times New Roman" w:cs="Times New Roman"/>
                      <w:i/>
                      <w:iCs/>
                      <w:sz w:val="20"/>
                      <w:szCs w:val="20"/>
                    </w:rPr>
                    <w:t>in</w:t>
                  </w:r>
                  <w:r w:rsidRPr="008746AB">
                    <w:rPr>
                      <w:rFonts w:ascii="Times New Roman" w:eastAsia="Times New Roman" w:hAnsi="Times New Roman" w:cs="Times New Roman"/>
                      <w:sz w:val="20"/>
                      <w:szCs w:val="20"/>
                    </w:rPr>
                    <w:t xml:space="preserve"> </w:t>
                  </w:r>
                  <w:r w:rsidRPr="008746AB">
                    <w:rPr>
                      <w:rFonts w:ascii="Times New Roman" w:eastAsia="Times New Roman" w:hAnsi="Times New Roman" w:cs="Times New Roman"/>
                      <w:i/>
                      <w:iCs/>
                      <w:sz w:val="20"/>
                      <w:szCs w:val="20"/>
                    </w:rPr>
                    <w:t>vivo</w:t>
                  </w:r>
                  <w:r w:rsidRPr="008746AB">
                    <w:rPr>
                      <w:rFonts w:ascii="Times New Roman" w:eastAsia="Times New Roman" w:hAnsi="Times New Roman" w:cs="Times New Roman"/>
                      <w:sz w:val="20"/>
                      <w:szCs w:val="20"/>
                    </w:rPr>
                    <w:t xml:space="preserve"> efficacy against cyanide intoxication than currently available therapies. The pharmacokinetics shows that SDX is rapidly metabolized. The aim of the research was to study the metabolites of SDX in blood with gas chromatography mass spectrometer (GC-MS) and high performance liquid chromatography (HPLC). In case of GC-MS, SDX was sampled from the head space above an aliquot of blood using solid phase microextraction. Increasing the incubation time of SDX in blood decreased its peak area. This signal lowering effect was 14 times stronger when SDX was spiked into and sampled from fresh blood versus 4-month old blood. It was hypothesized that SDX might be degraded in the blood via either oxidative or reductive process. To test the potential for oxidative degradation, H</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O</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 a strong oxidizing agent, was applied to SDX solution. After H</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O</w:t>
                  </w:r>
                  <w:r w:rsidRPr="008746AB">
                    <w:rPr>
                      <w:rFonts w:ascii="Times New Roman" w:eastAsia="Times New Roman" w:hAnsi="Times New Roman" w:cs="Times New Roman"/>
                      <w:sz w:val="20"/>
                      <w:szCs w:val="20"/>
                      <w:vertAlign w:val="subscript"/>
                    </w:rPr>
                    <w:t xml:space="preserve">2 </w:t>
                  </w:r>
                  <w:r w:rsidRPr="008746AB">
                    <w:rPr>
                      <w:rFonts w:ascii="Times New Roman" w:eastAsia="Times New Roman" w:hAnsi="Times New Roman" w:cs="Times New Roman"/>
                      <w:sz w:val="20"/>
                      <w:szCs w:val="20"/>
                    </w:rPr>
                    <w:t>treatment, new peaks appeared at 13.1 min and 19.3 min retention time of HPLC measurement beside the main SDX peak at 9.5 min. SDX treatment with H</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O</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 xml:space="preserve"> time dependently reduced the peak at 9.5 min and increased the two new peaks. UV-vis absorption spectra of blood spiked with SDX were collected. These indicate that a portion of the SDX is reduced by hemoglobin, leading to the formation of methemoglobin. It can be concluded that while both oxidative and reductive processes are possible, the reduction of the sulfur donor by hemoglobin is the predominant step in the metabolism of SDX in blood.</w:t>
                  </w:r>
                  <w:r w:rsidRPr="008746AB">
                    <w:rPr>
                      <w:rFonts w:ascii="Times New Roman" w:eastAsia="Times New Roman" w:hAnsi="Times New Roman" w:cs="Times New Roman"/>
                      <w:sz w:val="20"/>
                      <w:szCs w:val="20"/>
                    </w:rPr>
                    <w:br/>
                  </w:r>
                  <w:r w:rsidRPr="008746AB">
                    <w:rPr>
                      <w:rFonts w:ascii="Times New Roman" w:eastAsia="Times New Roman" w:hAnsi="Times New Roman" w:cs="Times New Roman"/>
                      <w:sz w:val="20"/>
                      <w:szCs w:val="20"/>
                    </w:rPr>
                    <w:br/>
                    <w:t>The study was funded by the Robert A. Welch Foundation at Sam Houston State University (X-0011) and the USAMRICD (Contract No.W911NF-11-D-0001).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resubmitted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62"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2360015</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Digital Imaging and Fluorescence Characterization of Langmuir Films of Quantum Dots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Zachary Whitfield</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ze_dub@msn.com</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Zachary Whitfield</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Jeffrey J. Weimer</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Hemang Jani</w:t>
                  </w:r>
                  <w:r w:rsidRPr="008746AB">
                    <w:rPr>
                      <w:rFonts w:ascii="Times New Roman" w:eastAsia="Times New Roman" w:hAnsi="Times New Roman" w:cs="Times New Roman"/>
                      <w:sz w:val="20"/>
                      <w:szCs w:val="20"/>
                      <w:vertAlign w:val="superscript"/>
                    </w:rPr>
                    <w:t>3</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Chemistry Department, University of Alabama Huntsville, Huntsville, AL, United States. </w:t>
                  </w:r>
                  <w:r w:rsidRPr="008746AB">
                    <w:rPr>
                      <w:rFonts w:ascii="Times New Roman" w:eastAsia="Times New Roman" w:hAnsi="Times New Roman" w:cs="Times New Roman"/>
                      <w:sz w:val="20"/>
                      <w:szCs w:val="20"/>
                    </w:rPr>
                    <w:br/>
                    <w:t xml:space="preserve">2. Chemistry, University of Alabama in Huntsville, Huntsville, AL, United States. </w:t>
                  </w:r>
                  <w:r w:rsidRPr="008746AB">
                    <w:rPr>
                      <w:rFonts w:ascii="Times New Roman" w:eastAsia="Times New Roman" w:hAnsi="Times New Roman" w:cs="Times New Roman"/>
                      <w:sz w:val="20"/>
                      <w:szCs w:val="20"/>
                    </w:rPr>
                    <w:br/>
                    <w:t xml:space="preserve">3. Physics, University of Alabama in Huntsville, Huntsville, AL,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 xml:space="preserve">We report on an analytical study to quantify the uniformity of Langmuir and Langmuir-Schafer (LS) films of quantum dots (QDs) using digital image analysis and fluorescence spectroscopy. Gradient-core QDs were selected for creating the thin films because of their growing popularity for use in industries. The QDs were cast as Langmuir films on a water subphase, and the Langmuir films were deposited onto substrates using the LS technique. Images were taken using a digital optical microscope of both the Langmuir and LS films with white light and black light sources. Agglomerations, voids, islands, and ridges were some of the artifacts found when surveying the Langmuir films. These artifacts were seen to template directly to the LS films. Emission spectra of the LS films were mapped using fluorescence spectroscopy. </w:t>
                  </w:r>
                  <w:proofErr w:type="gramStart"/>
                  <w:r w:rsidRPr="008746AB">
                    <w:rPr>
                      <w:rFonts w:ascii="Times New Roman" w:eastAsia="Times New Roman" w:hAnsi="Times New Roman" w:cs="Times New Roman"/>
                      <w:sz w:val="20"/>
                      <w:szCs w:val="20"/>
                    </w:rPr>
                    <w:t>Variations in the brightness on the optical images was</w:t>
                  </w:r>
                  <w:proofErr w:type="gramEnd"/>
                  <w:r w:rsidRPr="008746AB">
                    <w:rPr>
                      <w:rFonts w:ascii="Times New Roman" w:eastAsia="Times New Roman" w:hAnsi="Times New Roman" w:cs="Times New Roman"/>
                      <w:sz w:val="20"/>
                      <w:szCs w:val="20"/>
                    </w:rPr>
                    <w:t xml:space="preserve"> proposed to be due to changes in the topography in films. Image processing software was used to quantify the intensities of the variations at different spatial locations across the films. A direct correlation was made between the spatial variations in image brightness and the intensities of fluorescence spectra at the same given point on the LS films.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63"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2360174</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TITLE: Surface enhanced Raman spectroscopy of cyanide metabolite 2-aminothiazolene-4-carboxylic acid (ATCA) on immersed and dried substrates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Manpinder Kaur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mxk028@shsu.edu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Manpinder Kaur</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David Thompson</w:t>
                  </w:r>
                  <w:r w:rsidRPr="008746AB">
                    <w:rPr>
                      <w:rFonts w:ascii="Times New Roman" w:eastAsia="Times New Roman" w:hAnsi="Times New Roman" w:cs="Times New Roman"/>
                      <w:sz w:val="20"/>
                      <w:szCs w:val="20"/>
                      <w:vertAlign w:val="superscript"/>
                    </w:rPr>
                    <w:t>2</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chemistry, Sam houston state university, Huntsville Tx, TX, United States. </w:t>
                  </w:r>
                  <w:r w:rsidRPr="008746AB">
                    <w:rPr>
                      <w:rFonts w:ascii="Times New Roman" w:eastAsia="Times New Roman" w:hAnsi="Times New Roman" w:cs="Times New Roman"/>
                      <w:sz w:val="20"/>
                      <w:szCs w:val="20"/>
                    </w:rPr>
                    <w:br/>
                    <w:t xml:space="preserve">2. </w:t>
                  </w:r>
                  <w:proofErr w:type="gramStart"/>
                  <w:r w:rsidRPr="008746AB">
                    <w:rPr>
                      <w:rFonts w:ascii="Times New Roman" w:eastAsia="Times New Roman" w:hAnsi="Times New Roman" w:cs="Times New Roman"/>
                      <w:sz w:val="20"/>
                      <w:szCs w:val="20"/>
                    </w:rPr>
                    <w:t>chemistry</w:t>
                  </w:r>
                  <w:proofErr w:type="gramEnd"/>
                  <w:r w:rsidRPr="008746AB">
                    <w:rPr>
                      <w:rFonts w:ascii="Times New Roman" w:eastAsia="Times New Roman" w:hAnsi="Times New Roman" w:cs="Times New Roman"/>
                      <w:sz w:val="20"/>
                      <w:szCs w:val="20"/>
                    </w:rPr>
                    <w:t xml:space="preserve">, Sam houston state university, Huntsville Tx, TX,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Cyanide is a fast acting poison that interferes with the ATP synthesis. For studies of cyanide countermeasures it is advantageous to detect cyanide, cyanide antagonists, and multiple metabolites rapidly following exposure to CN. Surface enhanced Raman spectroscopy has the potential to be used for multiplexed and rapid detection of multiple analytes. Gold-coated silica nanopillar arrays have been shown to be effective SERS sensors following drop evaporation, or via gas phase exposure. It would be useful to apply them to the direct sensing of metabolytes in liquid samples. To explore that possibility we have carried out in-situ SERS experiments with gold-coated nanopillar sensors (Silmeco SERstrates) immersed in aqueous ATCA solution, and SERS experiments with sensors that have been dried, and rinsed following immersion. ATCA peaks in the SERS spectra were below our detection limit when the data was collected via immersion but reappear when the same substrate is dried. A control experiment with gold-coated nanopillar substrates that had been previously vapor coated with benzenethiol showed strong SERS signal for both immersed and dried sensors. We conclude that gold-coated nanopillar array SERS substrates have strongly differing enhancing characteristics for some, but not all, analytes based on whether the SERS spectra are collected from an immersed substrate, or from one that has been dried.</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64"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2360694</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TITLE: Using Thermogravimetric Analysis to differentiate between ethylene bis-stearamide and polyamides in paper machine deposits where FTIR results are inconclusive.</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Terrence Cotter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terry.cotter@kemira.com</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Terrence Cotter</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Analytical Services, Kemira, Kennesaw, GA,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Ethylene bis-Stearamide (EBS) is a common component of paper mill defoamers. The chemistries used in paper making are complex and can cause deposits on paper and paper making equipment. Paper machines use felts to transport wet pulp. Water is removed through the felts by drainage, pressure or heat. During these processes, deposits may form on the felts. If EBS is present, it may become part of the deposit. Felts are constructed of polyamide. Aggressive solvents, like dichloromethane, and heat are used in deposit analysis. These solvents can not only remove paper mill deposits from the felts but also dissolve polyamide from the felt. FTIR is commonly used for identification of paper mill deposits. The spectra of EBS and amide from felts are similar. TGA will differentiate, qualitatively, amide from EBS and amide from Felts.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65"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2360930</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TITLE: Electrochemical Detection of Acetaminophen, H</w:t>
                  </w:r>
                  <w:r w:rsidRPr="008746AB">
                    <w:rPr>
                      <w:rFonts w:ascii="Times New Roman" w:eastAsia="Times New Roman" w:hAnsi="Times New Roman" w:cs="Times New Roman"/>
                      <w:b/>
                      <w:bCs/>
                      <w:sz w:val="20"/>
                      <w:szCs w:val="20"/>
                      <w:vertAlign w:val="subscript"/>
                    </w:rPr>
                    <w:t>2</w:t>
                  </w:r>
                  <w:r w:rsidRPr="008746AB">
                    <w:rPr>
                      <w:rFonts w:ascii="Times New Roman" w:eastAsia="Times New Roman" w:hAnsi="Times New Roman" w:cs="Times New Roman"/>
                      <w:b/>
                      <w:bCs/>
                      <w:sz w:val="20"/>
                      <w:szCs w:val="20"/>
                    </w:rPr>
                    <w:t>O</w:t>
                  </w:r>
                  <w:r w:rsidRPr="008746AB">
                    <w:rPr>
                      <w:rFonts w:ascii="Times New Roman" w:eastAsia="Times New Roman" w:hAnsi="Times New Roman" w:cs="Times New Roman"/>
                      <w:b/>
                      <w:bCs/>
                      <w:sz w:val="20"/>
                      <w:szCs w:val="20"/>
                      <w:vertAlign w:val="subscript"/>
                    </w:rPr>
                    <w:t>2</w:t>
                  </w:r>
                  <w:r w:rsidRPr="008746AB">
                    <w:rPr>
                      <w:rFonts w:ascii="Times New Roman" w:eastAsia="Times New Roman" w:hAnsi="Times New Roman" w:cs="Times New Roman"/>
                      <w:b/>
                      <w:bCs/>
                      <w:sz w:val="20"/>
                      <w:szCs w:val="20"/>
                    </w:rPr>
                    <w:t>, and Dopamine Using Tapered Silicon Nanowires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Raja Pandey</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RajaRam.Pandey@mtsu.edu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Raja R. Pandey</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Hussain S. Alshahrani</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Elissa H. Williams</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Sergiy Krylyuk</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Albert Dayvydov</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Charles C. Chusuei</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Chemistry Department, Middle Tennessee State University, Murfreesboro, TN, United States. </w:t>
                  </w:r>
                  <w:r w:rsidRPr="008746AB">
                    <w:rPr>
                      <w:rFonts w:ascii="Times New Roman" w:eastAsia="Times New Roman" w:hAnsi="Times New Roman" w:cs="Times New Roman"/>
                      <w:sz w:val="20"/>
                      <w:szCs w:val="20"/>
                    </w:rPr>
                    <w:br/>
                    <w:t xml:space="preserve">2. Material Measurement Laboratory, National Institute of Standards and Technology, Gaithersburg, MD,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Preferred</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Tapered silicon nanowires (SiNWs), grown using chemical vapor deposition (CVD), were utilized to selectively detect and measure acetaminophen (AP), hydrogen peroxide (H</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O</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 and dopamine (DA) in phosphate buffered aqueous solutions. The SiNWs were applied via drop-casting onto glassy carbon electrode (GCE) surfaces, which were capped with 5 wt % Nafion solution and subsequently used as the working electrode for cyclic voltammetry (CV) and chronoamperometry (CA) measurements. Voltages used on the CA/CV potentiostat for the selective detection of AP, H</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O</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 xml:space="preserve"> and DA were –0.055, –0.600, and –0.522 V, respectively. The maximum signal for each analyte wasfound to be pH dependent, owing to surface charge effects on the electrocatalyst surface. Effective analytical measurement ranges for AP, H</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O</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 and DA were found to be 0.5–15 mM, 1–700 nM, and 1–80 mM, respectively. Optimization of amperometric detection via selection of solution pH for each analyte will be discussed.</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66"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2361022</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THE DETERMINATION OF INORGANIC AND ORGANIC COMPOUNDS IN KOMBUCHA</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Monesha Harris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maharris6@catamount.wcu.edu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Monesha A. Harris</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Arthur L. Salido</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Western Carolina University, Cullowhee, NC, United States. </w:t>
                  </w:r>
                  <w:r w:rsidRPr="008746AB">
                    <w:rPr>
                      <w:rFonts w:ascii="Times New Roman" w:eastAsia="Times New Roman" w:hAnsi="Times New Roman" w:cs="Times New Roman"/>
                      <w:sz w:val="20"/>
                      <w:szCs w:val="20"/>
                    </w:rPr>
                    <w:br/>
                    <w:t xml:space="preserve">2. Chemistry and Physics, Western Carolina University, Charlotte, NC,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 xml:space="preserve">Kombucha is a fermented tea produced from the modification of sweetened tea by a symbiotic culture of bacteria and yeast (S.C.O.B.Y.). Kombucha by-products include nutraceuticals, aroma, and flavor compounds. Nutraceuticals of interest in kombucha include pseudoalkaloids, anions, metals, and catechins. Aroma and flavor compounds of interest include esters, aldehydes and ketones. In addition to their medicinal value, anions, metals, aroma, and flavor compounds are also responsible for the taste, quality, and stability of kombucha. </w:t>
                  </w:r>
                  <w:r w:rsidRPr="008746AB">
                    <w:rPr>
                      <w:rFonts w:ascii="Times New Roman" w:eastAsia="Times New Roman" w:hAnsi="Times New Roman" w:cs="Times New Roman"/>
                      <w:sz w:val="20"/>
                      <w:szCs w:val="20"/>
                    </w:rPr>
                    <w:br/>
                  </w:r>
                  <w:r w:rsidRPr="008746AB">
                    <w:rPr>
                      <w:rFonts w:ascii="Times New Roman" w:eastAsia="Times New Roman" w:hAnsi="Times New Roman" w:cs="Times New Roman"/>
                      <w:sz w:val="20"/>
                      <w:szCs w:val="20"/>
                    </w:rPr>
                    <w:br/>
                    <w:t>The purpose of this research project was to develop and perform kombucha quality analysis methods for a regional company. Inorganic ions and metals, and a variety of organic compounds were determined in finished kombucha and raw materials. Sample treatment assays and instrument methods were developed.</w:t>
                  </w:r>
                  <w:r w:rsidRPr="008746AB">
                    <w:rPr>
                      <w:rFonts w:ascii="Times New Roman" w:eastAsia="Times New Roman" w:hAnsi="Times New Roman" w:cs="Times New Roman"/>
                      <w:sz w:val="20"/>
                      <w:szCs w:val="20"/>
                    </w:rPr>
                    <w:br/>
                  </w:r>
                  <w:r w:rsidRPr="008746AB">
                    <w:rPr>
                      <w:rFonts w:ascii="Times New Roman" w:eastAsia="Times New Roman" w:hAnsi="Times New Roman" w:cs="Times New Roman"/>
                      <w:sz w:val="20"/>
                      <w:szCs w:val="20"/>
                    </w:rPr>
                    <w:br/>
                    <w:t>Anion and metal concentrations in 10 different flavors of kombucha have been determined. Ion Chromatography (IC) and Inductively Coupled Plasma Optical Emission Spectroscopy (ICP-OES) were used for analysis. Analysis showed the concentrations of metals were relatively consistent among the ten flavors tested. Calcium, magnesium, and sodium concentrations varied. This is typical in fermented consumer beverages. The analysis showed variability among the anions in each brand with acetate having the highest concentration. This is expected since acetic acid bacteria convert ethanol to acetic acid during fermentation.</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67"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2362254</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TITLE: Electrochemical Detection of Acetaminophen, H</w:t>
                  </w:r>
                  <w:r w:rsidRPr="008746AB">
                    <w:rPr>
                      <w:rFonts w:ascii="Times New Roman" w:eastAsia="Times New Roman" w:hAnsi="Times New Roman" w:cs="Times New Roman"/>
                      <w:b/>
                      <w:bCs/>
                      <w:sz w:val="20"/>
                      <w:szCs w:val="20"/>
                      <w:vertAlign w:val="subscript"/>
                    </w:rPr>
                    <w:t>2</w:t>
                  </w:r>
                  <w:r w:rsidRPr="008746AB">
                    <w:rPr>
                      <w:rFonts w:ascii="Times New Roman" w:eastAsia="Times New Roman" w:hAnsi="Times New Roman" w:cs="Times New Roman"/>
                      <w:b/>
                      <w:bCs/>
                      <w:sz w:val="20"/>
                      <w:szCs w:val="20"/>
                    </w:rPr>
                    <w:t>O</w:t>
                  </w:r>
                  <w:r w:rsidRPr="008746AB">
                    <w:rPr>
                      <w:rFonts w:ascii="Times New Roman" w:eastAsia="Times New Roman" w:hAnsi="Times New Roman" w:cs="Times New Roman"/>
                      <w:b/>
                      <w:bCs/>
                      <w:sz w:val="20"/>
                      <w:szCs w:val="20"/>
                      <w:vertAlign w:val="subscript"/>
                    </w:rPr>
                    <w:t>2</w:t>
                  </w:r>
                  <w:r w:rsidRPr="008746AB">
                    <w:rPr>
                      <w:rFonts w:ascii="Times New Roman" w:eastAsia="Times New Roman" w:hAnsi="Times New Roman" w:cs="Times New Roman"/>
                      <w:b/>
                      <w:bCs/>
                      <w:sz w:val="20"/>
                      <w:szCs w:val="20"/>
                    </w:rPr>
                    <w:t>, and Dopamine Using Tapered Silicon Nanowires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Raja Pandey</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RajaRam.Pandey@mtsu.edu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Raja R. Pandey</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Hussain S. Alshahrani</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Elissa H. Williams</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Sergiy Krylyuk</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Albert Davydov</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Charles C. Chusuei</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Chemistry, Middle Tennessee State University, Murfreesboro, TN, United States. </w:t>
                  </w:r>
                  <w:r w:rsidRPr="008746AB">
                    <w:rPr>
                      <w:rFonts w:ascii="Times New Roman" w:eastAsia="Times New Roman" w:hAnsi="Times New Roman" w:cs="Times New Roman"/>
                      <w:sz w:val="20"/>
                      <w:szCs w:val="20"/>
                    </w:rPr>
                    <w:br/>
                    <w:t xml:space="preserve">2. Material Measurement Laboratory, National Institute of Standards and Techology, Gaithersburg, MD,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Tapered silicon nanowires (SiNWs), grown using chemical vapor deposition (CVD), were utilized to selectively detect and measure acetaminophen (AP), hydrogen peroxide (H</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O</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 and dopamine (DA) in phosphate buffered aqueous solutions. The SiNWs were drop-casted onto glassy carbon electrode (GCE) surfaces, which were capped with 5 wt % Nafion solution and subsequently used as the working electrode for cyclic voltammetry (CV) and chronoamperometry (CA) measurements. Voltages used on the CA/CV potentiostat for the selective detection of AP, H</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O</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 xml:space="preserve"> and DA were –0.055, –0.600, and –0.522 V, respectively. The maximum signal for each analyte was found to be pH dependent, owing to surface charge effects on the electrocatalyst surface. Effective analytical measurement ranges for AP, H</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O</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 and DA were found to be 0.5–15 mM, 10–80 μM, and 1–80 μM, respectively. Optimization of amperometric detection via selection of solution pH for each analyte is discussed.</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68"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2362645</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Get involved with the ACS Division of Chemical Education</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Martin Perry</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perrym@obu.edu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Martin D. Perry</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Frank J. Creegan</w:t>
                  </w:r>
                  <w:r w:rsidRPr="008746AB">
                    <w:rPr>
                      <w:rFonts w:ascii="Times New Roman" w:eastAsia="Times New Roman" w:hAnsi="Times New Roman" w:cs="Times New Roman"/>
                      <w:sz w:val="20"/>
                      <w:szCs w:val="20"/>
                      <w:vertAlign w:val="superscript"/>
                    </w:rPr>
                    <w:t>2</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Chemistry, Ouachita Baptist University, Arkadelphia, AR, United States. </w:t>
                  </w:r>
                  <w:r w:rsidRPr="008746AB">
                    <w:rPr>
                      <w:rFonts w:ascii="Times New Roman" w:eastAsia="Times New Roman" w:hAnsi="Times New Roman" w:cs="Times New Roman"/>
                      <w:sz w:val="20"/>
                      <w:szCs w:val="20"/>
                    </w:rPr>
                    <w:br/>
                    <w:t xml:space="preserve">2. Chemistry, Washington College, Chestertown, MD,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 xml:space="preserve">Want to know more about the Division of Chemical Education, learn how you can get more involved with DivCHED, learn about educational resources for chemistry, find out how to apply for travel awards, or meet and network with people from your region, nationally, and around the world </w:t>
                  </w:r>
                  <w:proofErr w:type="gramStart"/>
                  <w:r w:rsidRPr="008746AB">
                    <w:rPr>
                      <w:rFonts w:ascii="Times New Roman" w:eastAsia="Times New Roman" w:hAnsi="Times New Roman" w:cs="Times New Roman"/>
                      <w:sz w:val="20"/>
                      <w:szCs w:val="20"/>
                    </w:rPr>
                    <w:t>who</w:t>
                  </w:r>
                  <w:proofErr w:type="gramEnd"/>
                  <w:r w:rsidRPr="008746AB">
                    <w:rPr>
                      <w:rFonts w:ascii="Times New Roman" w:eastAsia="Times New Roman" w:hAnsi="Times New Roman" w:cs="Times New Roman"/>
                      <w:sz w:val="20"/>
                      <w:szCs w:val="20"/>
                    </w:rPr>
                    <w:t xml:space="preserve"> have similar interests? The Division of Chemical Education aims to serve as a means of focusing and enhancing the interest and efforts of all constituencies involved in the teaching and learning of chemistry at every level. If you have an interest in chemistry education, we want you involved in DivCHED. Come visit our poster to learn more about the Division and all we have to </w:t>
                  </w:r>
                  <w:proofErr w:type="gramStart"/>
                  <w:r w:rsidRPr="008746AB">
                    <w:rPr>
                      <w:rFonts w:ascii="Times New Roman" w:eastAsia="Times New Roman" w:hAnsi="Times New Roman" w:cs="Times New Roman"/>
                      <w:sz w:val="20"/>
                      <w:szCs w:val="20"/>
                    </w:rPr>
                    <w:t>offer,</w:t>
                  </w:r>
                  <w:proofErr w:type="gramEnd"/>
                  <w:r w:rsidRPr="008746AB">
                    <w:rPr>
                      <w:rFonts w:ascii="Times New Roman" w:eastAsia="Times New Roman" w:hAnsi="Times New Roman" w:cs="Times New Roman"/>
                      <w:sz w:val="20"/>
                      <w:szCs w:val="20"/>
                    </w:rPr>
                    <w:t xml:space="preserve"> meet representatives from the Division, and let us know what you think the Division can do to better meet the needs of our members.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69"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2363717</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Chromium (III) Supercharging in Electrospray Ionization Mass Spectrometry of Biological Peptides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Ryan Hacherl</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rdhacherl@crimson.ua.edu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Carolyn J. Cassady</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Ryan Hacherl</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Chemistry, University of Alabama, Ringgold, GA, United States. </w:t>
                  </w:r>
                  <w:r w:rsidRPr="008746AB">
                    <w:rPr>
                      <w:rFonts w:ascii="Times New Roman" w:eastAsia="Times New Roman" w:hAnsi="Times New Roman" w:cs="Times New Roman"/>
                      <w:sz w:val="20"/>
                      <w:szCs w:val="20"/>
                    </w:rPr>
                    <w:br/>
                    <w:t xml:space="preserve">2. Chemistry, University of Alabama, Tuscaloosa, AL,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Preferred</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The analysis of biological peptide solutions by mass spectrometry usually involves electrospray ionization (ESI), where ionization commonly occurs by the addition of protons to analyte molecules. The ability to increase the extent of ionization both improves detection limits and facilitates pBiological peptides can be identified in solution by mass spectrometry, but not as clearly as one may hope. Proteomic sequencing by radical-based techniques such as electron transfer dissociation. Scould be performed much more efficiently if peptides were more distinctly identifiable in solution by mass spectrometry. Certain solution additives can be used to increase the charge states of ions produced by ESI and also to of the sample. Additionally, additives can increase signal intensity when more peptides are encouraged to accept charge and remain at the higher charge state. Addition of acid to the solutions being electrosprayedcid addition in solution is a common method to encourage protonation of the peptide and increase its signal intensity. Our research group The has recently shown that the addition of chromium(III) certain metal ions in solution can has been shown to “supercharge” some peptides, dramatically increasing ESI signal intensity through additional protonation.</w:t>
                  </w:r>
                  <w:r w:rsidRPr="008746AB">
                    <w:rPr>
                      <w:rFonts w:ascii="Times New Roman" w:eastAsia="Times New Roman" w:hAnsi="Times New Roman" w:cs="Times New Roman"/>
                      <w:sz w:val="20"/>
                      <w:szCs w:val="20"/>
                    </w:rPr>
                    <w:br/>
                    <w:t xml:space="preserve">In order to further characterize ESI supercharging of peptides, tTwelve basic or neutral biological peptides were tested with additives of acid alone, Cr(III) alone, and acid plus Cr(III). ForIn most peptides, addition of acid alone decreased signal intensity. This unexpected </w:t>
                  </w:r>
                  <w:proofErr w:type="gramStart"/>
                  <w:r w:rsidRPr="008746AB">
                    <w:rPr>
                      <w:rFonts w:ascii="Times New Roman" w:eastAsia="Times New Roman" w:hAnsi="Times New Roman" w:cs="Times New Roman"/>
                      <w:sz w:val="20"/>
                      <w:szCs w:val="20"/>
                    </w:rPr>
                    <w:t>phenomena</w:t>
                  </w:r>
                  <w:proofErr w:type="gramEnd"/>
                  <w:r w:rsidRPr="008746AB">
                    <w:rPr>
                      <w:rFonts w:ascii="Times New Roman" w:eastAsia="Times New Roman" w:hAnsi="Times New Roman" w:cs="Times New Roman"/>
                      <w:sz w:val="20"/>
                      <w:szCs w:val="20"/>
                    </w:rPr>
                    <w:t xml:space="preserve"> is currently being investigated at multiple acid concentrations. </w:t>
                  </w:r>
                  <w:proofErr w:type="gramStart"/>
                  <w:r w:rsidRPr="008746AB">
                    <w:rPr>
                      <w:rFonts w:ascii="Times New Roman" w:eastAsia="Times New Roman" w:hAnsi="Times New Roman" w:cs="Times New Roman"/>
                      <w:sz w:val="20"/>
                      <w:szCs w:val="20"/>
                    </w:rPr>
                    <w:t>Cr(</w:t>
                  </w:r>
                  <w:proofErr w:type="gramEnd"/>
                  <w:r w:rsidRPr="008746AB">
                    <w:rPr>
                      <w:rFonts w:ascii="Times New Roman" w:eastAsia="Times New Roman" w:hAnsi="Times New Roman" w:cs="Times New Roman"/>
                      <w:sz w:val="20"/>
                      <w:szCs w:val="20"/>
                    </w:rPr>
                    <w:t>III) was effective at supercharging six of these peptides, creating a signal intensity 2 to 8 times greater than the ESI signal without initial, no-additive signal. These peptides all shared one characteristic; they possess, possessing two basic residues and no acidic sites other than the C-terminus carboxylic acid group. The peptide substance P One peptide was tested in two forms, one with an amide group in place of the C-terminus carboxylic acid and one with the carboxylic acid group intact. The more neutral amine version supercharged better than its carboxylic acid equivalent, suggesting that the overall number of acidic sites may decrease supercharging. Spacing between basic residues did not appear to affect supercharging performance contrary to the thought that charges may not accumulate on basic sites in close proximity.</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70"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2363785</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Amperometric Determination of Aurocyanide for Hydrometallurgical Gold Processing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Wayne Dickinson</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wayne.dickinson@kemira.com</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Wayne Dickinson</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Kemira, Atlanta, GA,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Preferred</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 xml:space="preserve">Determination of dissolved gold concentration is a fundamental need in hydrometallurgical gold extraction. An analytical method suitable for on-line measurement was developed that can enable more frequent gold analysis compared to standard batch AA methods; enabling more rapid response to changing conditions within the gold mill. DC amperometry was used to measure aurocyanide, </w:t>
                  </w:r>
                  <w:proofErr w:type="gramStart"/>
                  <w:r w:rsidRPr="008746AB">
                    <w:rPr>
                      <w:rFonts w:ascii="Times New Roman" w:eastAsia="Times New Roman" w:hAnsi="Times New Roman" w:cs="Times New Roman"/>
                      <w:sz w:val="20"/>
                      <w:szCs w:val="20"/>
                    </w:rPr>
                    <w:t>Au(</w:t>
                  </w:r>
                  <w:proofErr w:type="gramEnd"/>
                  <w:r w:rsidRPr="008746AB">
                    <w:rPr>
                      <w:rFonts w:ascii="Times New Roman" w:eastAsia="Times New Roman" w:hAnsi="Times New Roman" w:cs="Times New Roman"/>
                      <w:sz w:val="20"/>
                      <w:szCs w:val="20"/>
                    </w:rPr>
                    <w:t>CN)</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vertAlign w:val="superscript"/>
                    </w:rPr>
                    <w:t>-</w:t>
                  </w:r>
                  <w:r w:rsidRPr="008746AB">
                    <w:rPr>
                      <w:rFonts w:ascii="Times New Roman" w:eastAsia="Times New Roman" w:hAnsi="Times New Roman" w:cs="Times New Roman"/>
                      <w:sz w:val="20"/>
                      <w:szCs w:val="20"/>
                    </w:rPr>
                    <w:t xml:space="preserve"> according to a modified Levich equation. A three-electrode glass cell with gold working, carbon counter and calomel reference electrodes was filled with 100 mL of a 0.05M borate-buffered, 50 µM Au(CN)</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vertAlign w:val="superscript"/>
                    </w:rPr>
                    <w:t>-</w:t>
                  </w:r>
                  <w:r w:rsidRPr="008746AB">
                    <w:rPr>
                      <w:rFonts w:ascii="Times New Roman" w:eastAsia="Times New Roman" w:hAnsi="Times New Roman" w:cs="Times New Roman"/>
                      <w:sz w:val="20"/>
                      <w:szCs w:val="20"/>
                    </w:rPr>
                    <w:t xml:space="preserve"> pH 12 solution adjusted to 0.02M CN</w:t>
                  </w:r>
                  <w:r w:rsidRPr="008746AB">
                    <w:rPr>
                      <w:rFonts w:ascii="Times New Roman" w:eastAsia="Times New Roman" w:hAnsi="Times New Roman" w:cs="Times New Roman"/>
                      <w:sz w:val="20"/>
                      <w:szCs w:val="20"/>
                      <w:vertAlign w:val="superscript"/>
                    </w:rPr>
                    <w:t>-</w:t>
                  </w:r>
                  <w:r w:rsidRPr="008746AB">
                    <w:rPr>
                      <w:rFonts w:ascii="Times New Roman" w:eastAsia="Times New Roman" w:hAnsi="Times New Roman" w:cs="Times New Roman"/>
                      <w:sz w:val="20"/>
                      <w:szCs w:val="20"/>
                    </w:rPr>
                    <w:t xml:space="preserve"> and 14 µM Pb</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xml:space="preserve"> with NaCN and PbCl</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 xml:space="preserve"> respectively. Pb</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xml:space="preserve"> was used to cathodically polarize hydrogen reduction, minimizing interference with the </w:t>
                  </w:r>
                  <w:proofErr w:type="gramStart"/>
                  <w:r w:rsidRPr="008746AB">
                    <w:rPr>
                      <w:rFonts w:ascii="Times New Roman" w:eastAsia="Times New Roman" w:hAnsi="Times New Roman" w:cs="Times New Roman"/>
                      <w:sz w:val="20"/>
                      <w:szCs w:val="20"/>
                    </w:rPr>
                    <w:t>Au(</w:t>
                  </w:r>
                  <w:proofErr w:type="gramEnd"/>
                  <w:r w:rsidRPr="008746AB">
                    <w:rPr>
                      <w:rFonts w:ascii="Times New Roman" w:eastAsia="Times New Roman" w:hAnsi="Times New Roman" w:cs="Times New Roman"/>
                      <w:sz w:val="20"/>
                      <w:szCs w:val="20"/>
                    </w:rPr>
                    <w:t>CN)</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vertAlign w:val="superscript"/>
                    </w:rPr>
                    <w:t>-</w:t>
                  </w:r>
                  <w:r w:rsidRPr="008746AB">
                    <w:rPr>
                      <w:rFonts w:ascii="Times New Roman" w:eastAsia="Times New Roman" w:hAnsi="Times New Roman" w:cs="Times New Roman"/>
                      <w:sz w:val="20"/>
                      <w:szCs w:val="20"/>
                    </w:rPr>
                    <w:t xml:space="preserve"> reduction. The solution was aggressively sparged with nitrogen for ten minutes prior to analysis to eliminate oxygen and sparging was continued throughout the test to maintain diffusion-limited conditions. The potential was stepped to -1.2 V</w:t>
                  </w:r>
                  <w:r w:rsidRPr="008746AB">
                    <w:rPr>
                      <w:rFonts w:ascii="Times New Roman" w:eastAsia="Times New Roman" w:hAnsi="Times New Roman" w:cs="Times New Roman"/>
                      <w:sz w:val="20"/>
                      <w:szCs w:val="20"/>
                      <w:vertAlign w:val="subscript"/>
                    </w:rPr>
                    <w:t xml:space="preserve">sce </w:t>
                  </w:r>
                  <w:r w:rsidRPr="008746AB">
                    <w:rPr>
                      <w:rFonts w:ascii="Times New Roman" w:eastAsia="Times New Roman" w:hAnsi="Times New Roman" w:cs="Times New Roman"/>
                      <w:sz w:val="20"/>
                      <w:szCs w:val="20"/>
                    </w:rPr>
                    <w:t>using a potentiostat and current was recorded over an eight minute period. The analytical signal both as terminal current and total coulombs was linear in response to gold concentration with a detection limit of 0.5 mg/L. The rate of gold uptake onto activated carbon used in gold processing was determined for native carbon and for carbon that was treated with a polymeric material to reduce carbon abrasion. A 110 mL volume of 10 mg/L gold solution was tumbled in glass jars containing borate buffer and 4.5 g/L native or polymer-treated carbon. At intervals over 90 minutes, the solution was sampled, amended with CN</w:t>
                  </w:r>
                  <w:r w:rsidRPr="008746AB">
                    <w:rPr>
                      <w:rFonts w:ascii="Times New Roman" w:eastAsia="Times New Roman" w:hAnsi="Times New Roman" w:cs="Times New Roman"/>
                      <w:sz w:val="20"/>
                      <w:szCs w:val="20"/>
                      <w:vertAlign w:val="superscript"/>
                    </w:rPr>
                    <w:t xml:space="preserve">- </w:t>
                  </w:r>
                  <w:r w:rsidRPr="008746AB">
                    <w:rPr>
                      <w:rFonts w:ascii="Times New Roman" w:eastAsia="Times New Roman" w:hAnsi="Times New Roman" w:cs="Times New Roman"/>
                      <w:sz w:val="20"/>
                      <w:szCs w:val="20"/>
                    </w:rPr>
                    <w:t>and Pb</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xml:space="preserve"> then analyzed. The treatment had no effect on gold uptake indicating compatibility with the gold adsorption process. Concentrations were in excellent agreement with separate analysis by atomic adsorption.</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71"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2364579</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TITLE: Solid-Phase Extraction-77K Laser Excited Time Resolved Fluorescence Spectroscopy for the Analysis of Benzo[a]pyrene Metabolites in Urine Samples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Bassam Alfarhani</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bfa1981@knights.ucf.edu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Bassam F. Alfarhani</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chemistry, University of central florida, Orlando, FL,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Bassam Alfarhani, Maha Al-Tameemi and Andres D. Campiglia*</w:t>
                  </w:r>
                  <w:r w:rsidRPr="008746AB">
                    <w:rPr>
                      <w:rFonts w:ascii="Times New Roman" w:eastAsia="Times New Roman" w:hAnsi="Times New Roman" w:cs="Times New Roman"/>
                      <w:sz w:val="20"/>
                      <w:szCs w:val="20"/>
                    </w:rPr>
                    <w:br/>
                    <w:t>Department of Chemistry, University of Central Florida, 4000 Central Florida Blvd, Physical Sciences Room 255, Orlando, FL 32816, USA</w:t>
                  </w:r>
                  <w:r w:rsidRPr="008746AB">
                    <w:rPr>
                      <w:rFonts w:ascii="Times New Roman" w:eastAsia="Times New Roman" w:hAnsi="Times New Roman" w:cs="Times New Roman"/>
                      <w:sz w:val="20"/>
                      <w:szCs w:val="20"/>
                    </w:rPr>
                    <w:br/>
                    <w:t>Analytical methods to elucidate the initial phase of carcinogenesis are extremely relevant to our society. Covalent binding of metabolites of PAHs to DNA appears to be the critical step in the initiation of the tumor formation process. Under this prospective, the determination of PAH metabolites prior to DNA damage fills an important niche to prevent extreme body burdens and minimize cancer risk. Urine analysis of PAH metabolites is recognized as an accurate assessment of human exposure to PAHs. Despite the sophisticated arsenal of analytical tools, monitoring PAH-metabolites via simple, cost effective and direct methods still remains a challenge. Research in our group has focused on the development of screening techniques capable to process numerous samples in short analysis time. Screening methods prevent unnecessary scrutiny of uncontaminated samples via time-consuming chromatographic procedures, reduce analysis cost and facilitate data collection from statistically meaningful population sizes. The method presented here combines solid-phase extraction (SPE) to laser excited time resolved fluorescence spectroscopy at 77K temprature. Commercially available SPE membranes serve the dual purpose of sample pre-concentration and solid substrates for fluorescence measurements. Sample freezing is performed in a matter of seconds with the aid of a fiber-optic probe directly inserted into the liquid cryogen. Wavelength time matrices (WTMs) and time resolved excitation emission matrices (TREEMs) are rapidly collected with the aid of a pulsed tunable dye laser, a spectrograph, and an intensified charged couple device. The potential of our proposition is demonstrated with the direct analysis of 3-hydroxy-benzo[a]pyrene, benzo[</w:t>
                  </w:r>
                  <w:r w:rsidRPr="008746AB">
                    <w:rPr>
                      <w:rFonts w:ascii="Times New Roman" w:eastAsia="Times New Roman" w:hAnsi="Times New Roman" w:cs="Times New Roman"/>
                      <w:i/>
                      <w:iCs/>
                      <w:sz w:val="20"/>
                      <w:szCs w:val="20"/>
                    </w:rPr>
                    <w:t>a</w:t>
                  </w:r>
                  <w:r w:rsidRPr="008746AB">
                    <w:rPr>
                      <w:rFonts w:ascii="Times New Roman" w:eastAsia="Times New Roman" w:hAnsi="Times New Roman" w:cs="Times New Roman"/>
                      <w:sz w:val="20"/>
                      <w:szCs w:val="20"/>
                    </w:rPr>
                    <w:t>]pyrene-</w:t>
                  </w:r>
                  <w:r w:rsidRPr="008746AB">
                    <w:rPr>
                      <w:rFonts w:ascii="Times New Roman" w:eastAsia="Times New Roman" w:hAnsi="Times New Roman" w:cs="Times New Roman"/>
                      <w:i/>
                      <w:iCs/>
                      <w:sz w:val="20"/>
                      <w:szCs w:val="20"/>
                    </w:rPr>
                    <w:t>trans</w:t>
                  </w:r>
                  <w:r w:rsidRPr="008746AB">
                    <w:rPr>
                      <w:rFonts w:ascii="Times New Roman" w:eastAsia="Times New Roman" w:hAnsi="Times New Roman" w:cs="Times New Roman"/>
                      <w:sz w:val="20"/>
                      <w:szCs w:val="20"/>
                    </w:rPr>
                    <w:t>-9</w:t>
                  </w:r>
                  <w:proofErr w:type="gramStart"/>
                  <w:r w:rsidRPr="008746AB">
                    <w:rPr>
                      <w:rFonts w:ascii="Times New Roman" w:eastAsia="Times New Roman" w:hAnsi="Times New Roman" w:cs="Times New Roman"/>
                      <w:sz w:val="20"/>
                      <w:szCs w:val="20"/>
                    </w:rPr>
                    <w:t>,10</w:t>
                  </w:r>
                  <w:proofErr w:type="gramEnd"/>
                  <w:r w:rsidRPr="008746AB">
                    <w:rPr>
                      <w:rFonts w:ascii="Times New Roman" w:eastAsia="Times New Roman" w:hAnsi="Times New Roman" w:cs="Times New Roman"/>
                      <w:sz w:val="20"/>
                      <w:szCs w:val="20"/>
                    </w:rPr>
                    <w:t>-dihydrodiol, benzo[a]pyrene-r-7,t-8,c-9-tetrahydrotriol and benzo[</w:t>
                  </w:r>
                  <w:r w:rsidRPr="008746AB">
                    <w:rPr>
                      <w:rFonts w:ascii="Times New Roman" w:eastAsia="Times New Roman" w:hAnsi="Times New Roman" w:cs="Times New Roman"/>
                      <w:i/>
                      <w:iCs/>
                      <w:sz w:val="20"/>
                      <w:szCs w:val="20"/>
                    </w:rPr>
                    <w:t>a</w:t>
                  </w:r>
                  <w:r w:rsidRPr="008746AB">
                    <w:rPr>
                      <w:rFonts w:ascii="Times New Roman" w:eastAsia="Times New Roman" w:hAnsi="Times New Roman" w:cs="Times New Roman"/>
                      <w:sz w:val="20"/>
                      <w:szCs w:val="20"/>
                    </w:rPr>
                    <w:t>]pyrene-</w:t>
                  </w:r>
                  <w:r w:rsidRPr="008746AB">
                    <w:rPr>
                      <w:rFonts w:ascii="Times New Roman" w:eastAsia="Times New Roman" w:hAnsi="Times New Roman" w:cs="Times New Roman"/>
                      <w:i/>
                      <w:iCs/>
                      <w:sz w:val="20"/>
                      <w:szCs w:val="20"/>
                    </w:rPr>
                    <w:t>r</w:t>
                  </w:r>
                  <w:r w:rsidRPr="008746AB">
                    <w:rPr>
                      <w:rFonts w:ascii="Times New Roman" w:eastAsia="Times New Roman" w:hAnsi="Times New Roman" w:cs="Times New Roman"/>
                      <w:sz w:val="20"/>
                      <w:szCs w:val="20"/>
                    </w:rPr>
                    <w:t>-7,</w:t>
                  </w:r>
                  <w:r w:rsidRPr="008746AB">
                    <w:rPr>
                      <w:rFonts w:ascii="Times New Roman" w:eastAsia="Times New Roman" w:hAnsi="Times New Roman" w:cs="Times New Roman"/>
                      <w:i/>
                      <w:iCs/>
                      <w:sz w:val="20"/>
                      <w:szCs w:val="20"/>
                    </w:rPr>
                    <w:t>t</w:t>
                  </w:r>
                  <w:r w:rsidRPr="008746AB">
                    <w:rPr>
                      <w:rFonts w:ascii="Times New Roman" w:eastAsia="Times New Roman" w:hAnsi="Times New Roman" w:cs="Times New Roman"/>
                      <w:sz w:val="20"/>
                      <w:szCs w:val="20"/>
                    </w:rPr>
                    <w:t>-8,</w:t>
                  </w:r>
                  <w:r w:rsidRPr="008746AB">
                    <w:rPr>
                      <w:rFonts w:ascii="Times New Roman" w:eastAsia="Times New Roman" w:hAnsi="Times New Roman" w:cs="Times New Roman"/>
                      <w:i/>
                      <w:iCs/>
                      <w:sz w:val="20"/>
                      <w:szCs w:val="20"/>
                    </w:rPr>
                    <w:t>c</w:t>
                  </w:r>
                  <w:r w:rsidRPr="008746AB">
                    <w:rPr>
                      <w:rFonts w:ascii="Times New Roman" w:eastAsia="Times New Roman" w:hAnsi="Times New Roman" w:cs="Times New Roman"/>
                      <w:sz w:val="20"/>
                      <w:szCs w:val="20"/>
                    </w:rPr>
                    <w:t>-9,</w:t>
                  </w:r>
                  <w:r w:rsidRPr="008746AB">
                    <w:rPr>
                      <w:rFonts w:ascii="Times New Roman" w:eastAsia="Times New Roman" w:hAnsi="Times New Roman" w:cs="Times New Roman"/>
                      <w:i/>
                      <w:iCs/>
                      <w:sz w:val="20"/>
                      <w:szCs w:val="20"/>
                    </w:rPr>
                    <w:t>c</w:t>
                  </w:r>
                  <w:r w:rsidRPr="008746AB">
                    <w:rPr>
                      <w:rFonts w:ascii="Times New Roman" w:eastAsia="Times New Roman" w:hAnsi="Times New Roman" w:cs="Times New Roman"/>
                      <w:sz w:val="20"/>
                      <w:szCs w:val="20"/>
                    </w:rPr>
                    <w:t>-10-tetrahydrotetrol in synthetic and human urine samples. Recovery values varied from 87.54 ± 3.11% (3-hydroxy-benzo[a]pyrene) to 99.77 ± 2.98% (benzo[</w:t>
                  </w:r>
                  <w:r w:rsidRPr="008746AB">
                    <w:rPr>
                      <w:rFonts w:ascii="Times New Roman" w:eastAsia="Times New Roman" w:hAnsi="Times New Roman" w:cs="Times New Roman"/>
                      <w:i/>
                      <w:iCs/>
                      <w:sz w:val="20"/>
                      <w:szCs w:val="20"/>
                    </w:rPr>
                    <w:t>a</w:t>
                  </w:r>
                  <w:r w:rsidRPr="008746AB">
                    <w:rPr>
                      <w:rFonts w:ascii="Times New Roman" w:eastAsia="Times New Roman" w:hAnsi="Times New Roman" w:cs="Times New Roman"/>
                      <w:sz w:val="20"/>
                      <w:szCs w:val="20"/>
                    </w:rPr>
                    <w:t>]pyrene-</w:t>
                  </w:r>
                  <w:r w:rsidRPr="008746AB">
                    <w:rPr>
                      <w:rFonts w:ascii="Times New Roman" w:eastAsia="Times New Roman" w:hAnsi="Times New Roman" w:cs="Times New Roman"/>
                      <w:i/>
                      <w:iCs/>
                      <w:sz w:val="20"/>
                      <w:szCs w:val="20"/>
                    </w:rPr>
                    <w:t>r</w:t>
                  </w:r>
                  <w:r w:rsidRPr="008746AB">
                    <w:rPr>
                      <w:rFonts w:ascii="Times New Roman" w:eastAsia="Times New Roman" w:hAnsi="Times New Roman" w:cs="Times New Roman"/>
                      <w:sz w:val="20"/>
                      <w:szCs w:val="20"/>
                    </w:rPr>
                    <w:t>-7</w:t>
                  </w:r>
                  <w:proofErr w:type="gramStart"/>
                  <w:r w:rsidRPr="008746AB">
                    <w:rPr>
                      <w:rFonts w:ascii="Times New Roman" w:eastAsia="Times New Roman" w:hAnsi="Times New Roman" w:cs="Times New Roman"/>
                      <w:sz w:val="20"/>
                      <w:szCs w:val="20"/>
                    </w:rPr>
                    <w:t>,</w:t>
                  </w:r>
                  <w:r w:rsidRPr="008746AB">
                    <w:rPr>
                      <w:rFonts w:ascii="Times New Roman" w:eastAsia="Times New Roman" w:hAnsi="Times New Roman" w:cs="Times New Roman"/>
                      <w:i/>
                      <w:iCs/>
                      <w:sz w:val="20"/>
                      <w:szCs w:val="20"/>
                    </w:rPr>
                    <w:t>t</w:t>
                  </w:r>
                  <w:proofErr w:type="gramEnd"/>
                  <w:r w:rsidRPr="008746AB">
                    <w:rPr>
                      <w:rFonts w:ascii="Times New Roman" w:eastAsia="Times New Roman" w:hAnsi="Times New Roman" w:cs="Times New Roman"/>
                      <w:sz w:val="20"/>
                      <w:szCs w:val="20"/>
                    </w:rPr>
                    <w:t>-8,</w:t>
                  </w:r>
                  <w:r w:rsidRPr="008746AB">
                    <w:rPr>
                      <w:rFonts w:ascii="Times New Roman" w:eastAsia="Times New Roman" w:hAnsi="Times New Roman" w:cs="Times New Roman"/>
                      <w:i/>
                      <w:iCs/>
                      <w:sz w:val="20"/>
                      <w:szCs w:val="20"/>
                    </w:rPr>
                    <w:t>c</w:t>
                  </w:r>
                  <w:r w:rsidRPr="008746AB">
                    <w:rPr>
                      <w:rFonts w:ascii="Times New Roman" w:eastAsia="Times New Roman" w:hAnsi="Times New Roman" w:cs="Times New Roman"/>
                      <w:sz w:val="20"/>
                      <w:szCs w:val="20"/>
                    </w:rPr>
                    <w:t>-9,</w:t>
                  </w:r>
                  <w:r w:rsidRPr="008746AB">
                    <w:rPr>
                      <w:rFonts w:ascii="Times New Roman" w:eastAsia="Times New Roman" w:hAnsi="Times New Roman" w:cs="Times New Roman"/>
                      <w:i/>
                      <w:iCs/>
                      <w:sz w:val="20"/>
                      <w:szCs w:val="20"/>
                    </w:rPr>
                    <w:t>c</w:t>
                  </w:r>
                  <w:r w:rsidRPr="008746AB">
                    <w:rPr>
                      <w:rFonts w:ascii="Times New Roman" w:eastAsia="Times New Roman" w:hAnsi="Times New Roman" w:cs="Times New Roman"/>
                      <w:sz w:val="20"/>
                      <w:szCs w:val="20"/>
                    </w:rPr>
                    <w:t>-10-tetrahydrotetrol). Limits of detection at the pg.mL</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xml:space="preserve"> concentration level were obtained with only 10mL of urine sample. The excellent analytical figures of merit demonstrate the robustness of this approach for screening PAH metabolites in urine samples.</w:t>
                  </w:r>
                  <w:r w:rsidRPr="008746AB">
                    <w:rPr>
                      <w:rFonts w:ascii="Times New Roman" w:eastAsia="Times New Roman" w:hAnsi="Times New Roman" w:cs="Times New Roman"/>
                      <w:sz w:val="20"/>
                      <w:szCs w:val="20"/>
                    </w:rPr>
                    <w:br/>
                    <w:t>*Corresponding author.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72"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2365536</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TITLE: Method development for portable HPLC as a tool for onsite accurate analysis of THC in oral fluid</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Leslie Howard</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lrh223@msstate.edu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Leslie Howard</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Chemistry, Mississippi State University, Starkville, MS,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The legalization of marijuana is becoming increasingly popular in many states, resulting in a growing and unmet demand for onsite, law enforcement testing devices that can quantify recent use. Driving under the influence of marijuana can greatly impact ones driving ability by slowing the users’ reaction time, thus detection hardware is needed to keep the our roads safe. Δ9-tetrahydrocannabinol (THC) is the main chemical in marijuana responsible for producing the drugs mind-altering effects or creating a “high.” Past studies have created methods in which the presence of THC can be detected onsite. With current methodology, if THC is detected in saliva onsite, a second oral fluid sample must be collected and sent to a lab in order for the concentration to be measured. This is not compatible with field sobriety tests. We are working towards the development of a portable high-pressure liquid chromatography (HPLC) instrument that will be able to detect and quantify THC in oral fluid on site within 10 minutes. Model compounds are being tested in order to develop methods for measuring THC with the portable HPLC. In addition an HPLC/MS method has already been developed as a reference method to compare performance with the portable HPLC.</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73"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2365863</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Fluorescent assay for beta-galactosidase activity in probiotic gram-positive bacterial cells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Amanda Watson</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albrowns@uncg.edu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Amanda Watson</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Norman Chiu</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Chemistry and Biochemistry, University of North Carolina Greensboro, Greensboro, NC,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Preferred</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 xml:space="preserve">Measuring enzymatic activities in whole cells requires less preparation and minimizes the interruption of normal cellular activities. However, reports on measuring the enzymatic activities in gram-positive bacterial cells have been limited, which could be due to its thicker cell wall. Using two different strains of </w:t>
                  </w:r>
                  <w:r w:rsidRPr="008746AB">
                    <w:rPr>
                      <w:rFonts w:ascii="Times New Roman" w:eastAsia="Times New Roman" w:hAnsi="Times New Roman" w:cs="Times New Roman"/>
                      <w:i/>
                      <w:iCs/>
                      <w:sz w:val="20"/>
                      <w:szCs w:val="20"/>
                    </w:rPr>
                    <w:t>Lactobacillus</w:t>
                  </w:r>
                  <w:r w:rsidRPr="008746AB">
                    <w:rPr>
                      <w:rFonts w:ascii="Times New Roman" w:eastAsia="Times New Roman" w:hAnsi="Times New Roman" w:cs="Times New Roman"/>
                      <w:sz w:val="20"/>
                      <w:szCs w:val="20"/>
                    </w:rPr>
                    <w:t xml:space="preserve"> gram-positive bacteria as our probiotic models, we optimized a protocol for measuring the activity of beta-galactosidase (β-gal) in 96 well </w:t>
                  </w:r>
                  <w:proofErr w:type="gramStart"/>
                  <w:r w:rsidRPr="008746AB">
                    <w:rPr>
                      <w:rFonts w:ascii="Times New Roman" w:eastAsia="Times New Roman" w:hAnsi="Times New Roman" w:cs="Times New Roman"/>
                      <w:sz w:val="20"/>
                      <w:szCs w:val="20"/>
                    </w:rPr>
                    <w:t>format</w:t>
                  </w:r>
                  <w:proofErr w:type="gramEnd"/>
                  <w:r w:rsidRPr="008746AB">
                    <w:rPr>
                      <w:rFonts w:ascii="Times New Roman" w:eastAsia="Times New Roman" w:hAnsi="Times New Roman" w:cs="Times New Roman"/>
                      <w:sz w:val="20"/>
                      <w:szCs w:val="20"/>
                    </w:rPr>
                    <w:t xml:space="preserve"> using a fluorescent substrate called 4-methylumbelliferyl β-D-galactopyranoside (MUG). MUG has a similar structure to D-lactose, which is β-gal’s natural substrate. When MUG is used by the β-gal enzyme as a substrate, 4-methylumbelliferone is released as a fluorescent product. The optimization of the β-gal assay included reduction of background noise, testing for optimal activation time for the expression of β-gal, MUG concentration, and incubation time with MUG. The linear dynamic range and reproducibility of the β-gal assay were established with a standard curve of cell density. The optimized protocol would allow the β-gal assay to be completed in 5 hours and achieve significantly higher signal-to-noise ratios.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74"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2366331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TITLE: Forensic Identification and Differentiation of Visually Indistinguishable Fiber Pairs using Excitation-Emission Fluorescence Microscopy paired with Multi-Way Chemometric Analysis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Nirvani Mujumdar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nirvani@knights.ucf.edu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Nirvani Mujumdar</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Hector Goicoechea</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Arsenio Munoz de la Pena</w:t>
                  </w:r>
                  <w:r w:rsidRPr="008746AB">
                    <w:rPr>
                      <w:rFonts w:ascii="Times New Roman" w:eastAsia="Times New Roman" w:hAnsi="Times New Roman" w:cs="Times New Roman"/>
                      <w:sz w:val="20"/>
                      <w:szCs w:val="20"/>
                      <w:vertAlign w:val="superscript"/>
                    </w:rPr>
                    <w:t>3, 1</w:t>
                  </w:r>
                  <w:r w:rsidRPr="008746AB">
                    <w:rPr>
                      <w:rFonts w:ascii="Times New Roman" w:eastAsia="Times New Roman" w:hAnsi="Times New Roman" w:cs="Times New Roman"/>
                      <w:sz w:val="20"/>
                      <w:szCs w:val="20"/>
                    </w:rPr>
                    <w:t>, Andres Campiglia</w:t>
                  </w:r>
                  <w:r w:rsidRPr="008746AB">
                    <w:rPr>
                      <w:rFonts w:ascii="Times New Roman" w:eastAsia="Times New Roman" w:hAnsi="Times New Roman" w:cs="Times New Roman"/>
                      <w:sz w:val="20"/>
                      <w:szCs w:val="20"/>
                      <w:vertAlign w:val="superscript"/>
                    </w:rPr>
                    <w:t>1, 4</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Chemistry, University of Central Florida, Orlando, FL, United States. </w:t>
                  </w:r>
                  <w:r w:rsidRPr="008746AB">
                    <w:rPr>
                      <w:rFonts w:ascii="Times New Roman" w:eastAsia="Times New Roman" w:hAnsi="Times New Roman" w:cs="Times New Roman"/>
                      <w:sz w:val="20"/>
                      <w:szCs w:val="20"/>
                    </w:rPr>
                    <w:br/>
                    <w:t xml:space="preserve">2. Analytical Chemistry, Laboratorio de Desarrollo Analitico y Quimiometria (LADAQ), Litoral, Argentina. </w:t>
                  </w:r>
                  <w:r w:rsidRPr="008746AB">
                    <w:rPr>
                      <w:rFonts w:ascii="Times New Roman" w:eastAsia="Times New Roman" w:hAnsi="Times New Roman" w:cs="Times New Roman"/>
                      <w:sz w:val="20"/>
                      <w:szCs w:val="20"/>
                    </w:rPr>
                    <w:br/>
                    <w:t xml:space="preserve">3. Analytical Chemistry and IACYS, University of Extremadura, Badajoz, Spain. </w:t>
                  </w:r>
                  <w:r w:rsidRPr="008746AB">
                    <w:rPr>
                      <w:rFonts w:ascii="Times New Roman" w:eastAsia="Times New Roman" w:hAnsi="Times New Roman" w:cs="Times New Roman"/>
                      <w:sz w:val="20"/>
                      <w:szCs w:val="20"/>
                    </w:rPr>
                    <w:br/>
                    <w:t xml:space="preserve">4. Forensic Science, National Center for Forensic Science, Orlando, FL,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Non-destructive techniques that can discriminate between similar fibers or match a known to a questioned fiber and still preserve their physical integrity for further court examination are highly valuable and advantageous in the field of forensic science. When fibers cannot be differentiated by non-destructive methods, the next reasonable step is to extract these fibers for dye analysis with a more selective technique. Unfortunately, dye extraction destroys the evidence and the possibility for fiber court examination no longer exists. Here, we investigate the potential of excitation-emission fluorescence microscopy as a non-destructive technique for differentiating textile fibers pre-dyed with dyes having similar molecular structures and absorbance spectra. Four different dyed fiber pairs were chosen, including Nylon 361 dyed with Acid Yellow 17 and Acid Yellow 23, Polyester 777 dyed with Disperse Red 1 and Disperse Red 19, Acrylic 864 dyed with Basic Green 1 and Basic Green 4, and Acetate Satin 105B dyed with Disperse Blue 3 and Disperse Blue 14. Excitation-emission matrices (EEMs) were obtained via fluorescence spectroscopy, from all the studied fibers, by using a spectrofluorimeter connected to an epifluorescence microscope via a bifurcated fiber-optic probe, and were processed by several multi-way chemometric methods, such as second order unsupervised parallel factor analysis (PARAFAC), and supervised further by linear discriminant analysis (LDA), and discriminant unfolded partial least squares (DU-PLS). This allows using the complete discriminating information contained in the EEMs of the corresponding pair of dyes, which is given an enhanced discrimination power than first-order approaches, which only use the emission or the excitation spectrum for the analysis. These supervised algorithms were able to classify the investigated pairs of single fiber dyes, allowing for a proper differentiation between visually identical fibers with no need of dye extraction, by the proposed non-destructive analytical approach.</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75"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2366685</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TITLE: Selective Nano-Sensing Approach for the Quantitative Analysis of Phosphate Ions in Biological Matrixes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Alaa Fadhel</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alaa4chem@knights.ucf.edu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Alaa A. Fadhel</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Chemistry, University of Central Florida, Oviedo, FL,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Alaa Fadhel, Maddeleine Johnson, Anthony F. T. Moore, Eda Koculi, Andres D. Campiglia</w:t>
                  </w:r>
                  <w:r w:rsidRPr="008746AB">
                    <w:rPr>
                      <w:rFonts w:ascii="Times New Roman" w:eastAsia="Times New Roman" w:hAnsi="Times New Roman" w:cs="Times New Roman"/>
                      <w:sz w:val="20"/>
                      <w:szCs w:val="20"/>
                      <w:vertAlign w:val="superscript"/>
                    </w:rPr>
                    <w:t>*</w:t>
                  </w:r>
                  <w:r w:rsidRPr="008746AB">
                    <w:rPr>
                      <w:rFonts w:ascii="Times New Roman" w:eastAsia="Times New Roman" w:hAnsi="Times New Roman" w:cs="Times New Roman"/>
                      <w:sz w:val="20"/>
                      <w:szCs w:val="20"/>
                    </w:rPr>
                    <w:br/>
                  </w:r>
                  <w:r w:rsidRPr="008746AB">
                    <w:rPr>
                      <w:rFonts w:ascii="Times New Roman" w:eastAsia="Times New Roman" w:hAnsi="Times New Roman" w:cs="Times New Roman"/>
                      <w:sz w:val="20"/>
                      <w:szCs w:val="20"/>
                    </w:rPr>
                    <w:br/>
                    <w:t>Department of Chemistry, University of Central Florida, Orlando, Florida 32816-2366</w:t>
                  </w:r>
                  <w:r w:rsidRPr="008746AB">
                    <w:rPr>
                      <w:rFonts w:ascii="Times New Roman" w:eastAsia="Times New Roman" w:hAnsi="Times New Roman" w:cs="Times New Roman"/>
                      <w:sz w:val="20"/>
                      <w:szCs w:val="20"/>
                    </w:rPr>
                    <w:br/>
                    <w:t>E-mail: Andres.Campiglia@ucf.edu</w:t>
                  </w:r>
                  <w:r w:rsidRPr="008746AB">
                    <w:rPr>
                      <w:rFonts w:ascii="Times New Roman" w:eastAsia="Times New Roman" w:hAnsi="Times New Roman" w:cs="Times New Roman"/>
                      <w:sz w:val="20"/>
                      <w:szCs w:val="20"/>
                    </w:rPr>
                    <w:br/>
                  </w:r>
                  <w:r w:rsidRPr="008746AB">
                    <w:rPr>
                      <w:rFonts w:ascii="Times New Roman" w:eastAsia="Times New Roman" w:hAnsi="Times New Roman" w:cs="Times New Roman"/>
                      <w:sz w:val="20"/>
                      <w:szCs w:val="20"/>
                    </w:rPr>
                    <w:br/>
                    <w:t>Abnormal levels of phosphate ions in urine samples are indicators of potential cancer developments in thyroid, bone and other organs of the endocrine system. Although a plethora of analytical methods have been developed for the analysis of inorganic phosphate in biological systems, its determination at relevant biological concentrations remains a challenge. The need for sample clean up and pre-concentration steps prior to separation and determination via chromatographic, electrochemical or electrophoretic techniques often leads to tedious and time-consuming assays unsuited for screening purposes. As a tentative means of circumventing the shortcomings of classical methodology, a variety of bio-sensing approaches coupled to electrochemical detection have been reported in the literature. The same is true for chemical probes based on photoluminescence, chemiluminescence and spectrophotometric detection. Herein, we present a lanthanide-based luminescent probe [Tb-EDTA]</w:t>
                  </w:r>
                  <w:r w:rsidRPr="008746AB">
                    <w:rPr>
                      <w:rFonts w:ascii="Times New Roman" w:eastAsia="Times New Roman" w:hAnsi="Times New Roman" w:cs="Times New Roman"/>
                      <w:sz w:val="20"/>
                      <w:szCs w:val="20"/>
                      <w:vertAlign w:val="superscript"/>
                    </w:rPr>
                    <w:t xml:space="preserve">-1 </w:t>
                  </w:r>
                  <w:r w:rsidRPr="008746AB">
                    <w:rPr>
                      <w:rFonts w:ascii="Times New Roman" w:eastAsia="Times New Roman" w:hAnsi="Times New Roman" w:cs="Times New Roman"/>
                      <w:sz w:val="20"/>
                      <w:szCs w:val="20"/>
                    </w:rPr>
                    <w:t>utilizing synthesized gold nanoparticles (Au NPs) capped with cetyltrimethylammonium bromide (C-TAB). With this approach, it is possible to selectively determine phosphate ions at micro-molar (mM) concentration levels. Chemical species commonly found in biological systems - such as NO</w:t>
                  </w:r>
                  <w:r w:rsidRPr="008746AB">
                    <w:rPr>
                      <w:rFonts w:ascii="Times New Roman" w:eastAsia="Times New Roman" w:hAnsi="Times New Roman" w:cs="Times New Roman"/>
                      <w:sz w:val="20"/>
                      <w:szCs w:val="20"/>
                      <w:vertAlign w:val="subscript"/>
                    </w:rPr>
                    <w:t>3</w:t>
                  </w:r>
                  <w:r w:rsidRPr="008746AB">
                    <w:rPr>
                      <w:rFonts w:ascii="Times New Roman" w:eastAsia="Times New Roman" w:hAnsi="Times New Roman" w:cs="Times New Roman"/>
                      <w:sz w:val="20"/>
                      <w:szCs w:val="20"/>
                      <w:vertAlign w:val="superscript"/>
                    </w:rPr>
                    <w:t>-</w:t>
                  </w:r>
                  <w:r w:rsidRPr="008746AB">
                    <w:rPr>
                      <w:rFonts w:ascii="Times New Roman" w:eastAsia="Times New Roman" w:hAnsi="Times New Roman" w:cs="Times New Roman"/>
                      <w:sz w:val="20"/>
                      <w:szCs w:val="20"/>
                    </w:rPr>
                    <w:t>, NO</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vertAlign w:val="superscript"/>
                    </w:rPr>
                    <w:t>-</w:t>
                  </w:r>
                  <w:r w:rsidRPr="008746AB">
                    <w:rPr>
                      <w:rFonts w:ascii="Times New Roman" w:eastAsia="Times New Roman" w:hAnsi="Times New Roman" w:cs="Times New Roman"/>
                      <w:sz w:val="20"/>
                      <w:szCs w:val="20"/>
                    </w:rPr>
                    <w:t>, OH</w:t>
                  </w:r>
                  <w:r w:rsidRPr="008746AB">
                    <w:rPr>
                      <w:rFonts w:ascii="Times New Roman" w:eastAsia="Times New Roman" w:hAnsi="Times New Roman" w:cs="Times New Roman"/>
                      <w:sz w:val="20"/>
                      <w:szCs w:val="20"/>
                      <w:vertAlign w:val="superscript"/>
                    </w:rPr>
                    <w:t>-</w:t>
                  </w:r>
                  <w:r w:rsidRPr="008746AB">
                    <w:rPr>
                      <w:rFonts w:ascii="Times New Roman" w:eastAsia="Times New Roman" w:hAnsi="Times New Roman" w:cs="Times New Roman"/>
                      <w:sz w:val="20"/>
                      <w:szCs w:val="20"/>
                    </w:rPr>
                    <w:t>, CO</w:t>
                  </w:r>
                  <w:r w:rsidRPr="008746AB">
                    <w:rPr>
                      <w:rFonts w:ascii="Times New Roman" w:eastAsia="Times New Roman" w:hAnsi="Times New Roman" w:cs="Times New Roman"/>
                      <w:sz w:val="20"/>
                      <w:szCs w:val="20"/>
                      <w:vertAlign w:val="subscript"/>
                    </w:rPr>
                    <w:t>3</w:t>
                  </w:r>
                  <w:r w:rsidRPr="008746AB">
                    <w:rPr>
                      <w:rFonts w:ascii="Times New Roman" w:eastAsia="Times New Roman" w:hAnsi="Times New Roman" w:cs="Times New Roman"/>
                      <w:sz w:val="20"/>
                      <w:szCs w:val="20"/>
                      <w:vertAlign w:val="superscript"/>
                    </w:rPr>
                    <w:t>-</w:t>
                  </w:r>
                  <w:r w:rsidRPr="008746AB">
                    <w:rPr>
                      <w:rFonts w:ascii="Times New Roman" w:eastAsia="Times New Roman" w:hAnsi="Times New Roman" w:cs="Times New Roman"/>
                      <w:sz w:val="20"/>
                      <w:szCs w:val="20"/>
                    </w:rPr>
                    <w:t>, SO</w:t>
                  </w:r>
                  <w:r w:rsidRPr="008746AB">
                    <w:rPr>
                      <w:rFonts w:ascii="Times New Roman" w:eastAsia="Times New Roman" w:hAnsi="Times New Roman" w:cs="Times New Roman"/>
                      <w:sz w:val="20"/>
                      <w:szCs w:val="20"/>
                      <w:vertAlign w:val="subscript"/>
                    </w:rPr>
                    <w:t>3</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Cl</w:t>
                  </w:r>
                  <w:r w:rsidRPr="008746AB">
                    <w:rPr>
                      <w:rFonts w:ascii="Times New Roman" w:eastAsia="Times New Roman" w:hAnsi="Times New Roman" w:cs="Times New Roman"/>
                      <w:sz w:val="20"/>
                      <w:szCs w:val="20"/>
                      <w:vertAlign w:val="superscript"/>
                    </w:rPr>
                    <w:t>-</w:t>
                  </w:r>
                  <w:r w:rsidRPr="008746AB">
                    <w:rPr>
                      <w:rFonts w:ascii="Times New Roman" w:eastAsia="Times New Roman" w:hAnsi="Times New Roman" w:cs="Times New Roman"/>
                      <w:sz w:val="20"/>
                      <w:szCs w:val="20"/>
                    </w:rPr>
                    <w:t>, F</w:t>
                  </w:r>
                  <w:r w:rsidRPr="008746AB">
                    <w:rPr>
                      <w:rFonts w:ascii="Times New Roman" w:eastAsia="Times New Roman" w:hAnsi="Times New Roman" w:cs="Times New Roman"/>
                      <w:sz w:val="20"/>
                      <w:szCs w:val="20"/>
                      <w:vertAlign w:val="superscript"/>
                    </w:rPr>
                    <w:t>-</w:t>
                  </w:r>
                  <w:r w:rsidRPr="008746AB">
                    <w:rPr>
                      <w:rFonts w:ascii="Times New Roman" w:eastAsia="Times New Roman" w:hAnsi="Times New Roman" w:cs="Times New Roman"/>
                      <w:sz w:val="20"/>
                      <w:szCs w:val="20"/>
                    </w:rPr>
                    <w:t>, CH</w:t>
                  </w:r>
                  <w:r w:rsidRPr="008746AB">
                    <w:rPr>
                      <w:rFonts w:ascii="Times New Roman" w:eastAsia="Times New Roman" w:hAnsi="Times New Roman" w:cs="Times New Roman"/>
                      <w:sz w:val="20"/>
                      <w:szCs w:val="20"/>
                      <w:vertAlign w:val="subscript"/>
                    </w:rPr>
                    <w:t>3</w:t>
                  </w:r>
                  <w:r w:rsidRPr="008746AB">
                    <w:rPr>
                      <w:rFonts w:ascii="Times New Roman" w:eastAsia="Times New Roman" w:hAnsi="Times New Roman" w:cs="Times New Roman"/>
                      <w:sz w:val="20"/>
                      <w:szCs w:val="20"/>
                    </w:rPr>
                    <w:t>COO</w:t>
                  </w:r>
                  <w:r w:rsidRPr="008746AB">
                    <w:rPr>
                      <w:rFonts w:ascii="Times New Roman" w:eastAsia="Times New Roman" w:hAnsi="Times New Roman" w:cs="Times New Roman"/>
                      <w:sz w:val="20"/>
                      <w:szCs w:val="20"/>
                      <w:vertAlign w:val="superscript"/>
                    </w:rPr>
                    <w:t>-</w:t>
                  </w:r>
                  <w:r w:rsidRPr="008746AB">
                    <w:rPr>
                      <w:rFonts w:ascii="Times New Roman" w:eastAsia="Times New Roman" w:hAnsi="Times New Roman" w:cs="Times New Roman"/>
                      <w:sz w:val="20"/>
                      <w:szCs w:val="20"/>
                    </w:rPr>
                    <w:t>, creatinine and urea – cause no interference in the sensor’s response. Accurate results were obtained for the determination of phosphate ions in urine samples.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resubmitted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76"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2366791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Humic acid’s influence on surfactant toxicity as measured by </w:t>
                  </w:r>
                  <w:r w:rsidRPr="008746AB">
                    <w:rPr>
                      <w:rFonts w:ascii="Times New Roman" w:eastAsia="Times New Roman" w:hAnsi="Times New Roman" w:cs="Times New Roman"/>
                      <w:b/>
                      <w:bCs/>
                      <w:i/>
                      <w:iCs/>
                      <w:sz w:val="20"/>
                      <w:szCs w:val="20"/>
                    </w:rPr>
                    <w:t>Artemia Franciscana</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Rachel Williams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rachelw89@gmail.com</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Rachel D. Williams</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Madeline R. LeBlanc</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Robert L. Cook</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Louisiana State Univ, Baton Rouge, LA, United States. </w:t>
                  </w:r>
                  <w:r w:rsidRPr="008746AB">
                    <w:rPr>
                      <w:rFonts w:ascii="Times New Roman" w:eastAsia="Times New Roman" w:hAnsi="Times New Roman" w:cs="Times New Roman"/>
                      <w:sz w:val="20"/>
                      <w:szCs w:val="20"/>
                    </w:rPr>
                    <w:br/>
                    <w:t xml:space="preserve">2. Chemistry, Louisiana State University, Baton Rouge, LA,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Preferred</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Surfactants are amphiphilic compounds that are routinely introduced into aquatic environment via a variety of pathways, and many are known to be toxic to aquatic species. Humic acids (HAs) are present in both soil and natural water environments, and are known to play a significant role in the binding, transport, and change of bioavailability of pollutants, including surfactants. It is important to understand their ability to bind and change the bioavailability of a range of chemically distinct surfactants.</w:t>
                  </w:r>
                  <w:r w:rsidRPr="008746AB">
                    <w:rPr>
                      <w:rFonts w:ascii="Times New Roman" w:eastAsia="Times New Roman" w:hAnsi="Times New Roman" w:cs="Times New Roman"/>
                      <w:sz w:val="20"/>
                      <w:szCs w:val="20"/>
                    </w:rPr>
                    <w:br/>
                    <w:t xml:space="preserve">In this study, </w:t>
                  </w:r>
                  <w:r w:rsidRPr="008746AB">
                    <w:rPr>
                      <w:rFonts w:ascii="Times New Roman" w:eastAsia="Times New Roman" w:hAnsi="Times New Roman" w:cs="Times New Roman"/>
                      <w:i/>
                      <w:iCs/>
                      <w:sz w:val="20"/>
                      <w:szCs w:val="20"/>
                    </w:rPr>
                    <w:t>Artemia Franciscana</w:t>
                  </w:r>
                  <w:r w:rsidRPr="008746AB">
                    <w:rPr>
                      <w:rFonts w:ascii="Times New Roman" w:eastAsia="Times New Roman" w:hAnsi="Times New Roman" w:cs="Times New Roman"/>
                      <w:sz w:val="20"/>
                      <w:szCs w:val="20"/>
                    </w:rPr>
                    <w:t xml:space="preserve"> </w:t>
                  </w:r>
                  <w:proofErr w:type="gramStart"/>
                  <w:r w:rsidRPr="008746AB">
                    <w:rPr>
                      <w:rFonts w:ascii="Times New Roman" w:eastAsia="Times New Roman" w:hAnsi="Times New Roman" w:cs="Times New Roman"/>
                      <w:sz w:val="20"/>
                      <w:szCs w:val="20"/>
                    </w:rPr>
                    <w:t>were</w:t>
                  </w:r>
                  <w:proofErr w:type="gramEnd"/>
                  <w:r w:rsidRPr="008746AB">
                    <w:rPr>
                      <w:rFonts w:ascii="Times New Roman" w:eastAsia="Times New Roman" w:hAnsi="Times New Roman" w:cs="Times New Roman"/>
                      <w:sz w:val="20"/>
                      <w:szCs w:val="20"/>
                    </w:rPr>
                    <w:t xml:space="preserve"> used to measure the toxicity of three different surfactants. It was found that, depending on the type of surfactant (nonionic, cationic, or anionic), HAs from differing sources had different binding abilities. The polarity of the HA played a strong role in determining HA binding with the nonionic surfactant, while electrostatic interactions and aromatic-moieties were implicated in the binding of anionic and cationic surfactants, respectively.</w:t>
                  </w:r>
                  <w:r w:rsidRPr="008746AB">
                    <w:rPr>
                      <w:rFonts w:ascii="Times New Roman" w:eastAsia="Times New Roman" w:hAnsi="Times New Roman" w:cs="Times New Roman"/>
                      <w:sz w:val="20"/>
                      <w:szCs w:val="20"/>
                    </w:rPr>
                    <w:br/>
                    <w:t>To further understand which HA moieties interacted with the surfactants, chemical modifications were performed to remove individual components in the HA, namely: Soxhlet lipid extraction to reduce lipid components, acid hydrolysis to reduce O- and N- alkyl groups, and bleaching to reduce aromatic moieties. Lipid moieties were found to be a significant binding component with the nonionic surfactant, while aromatics were found to play a role in binding with the cationic surfactant. The anionic surfactant had nonspecific electrostatic binding to all HAs and their moieties.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77"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2366906</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Studies of Electronic Cigarette Emissions for Assessing Human Exposure to Harmful Chemicals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Kavya Kazipeta</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kk3r@mtmail.mtsu.edu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Kavya Kazipeta</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Ngee S. Chong</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Beng Guat Ooi</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Chemistry, Middle Tennessee State University, Murfreesboro, TN, United States. </w:t>
                  </w:r>
                  <w:r w:rsidRPr="008746AB">
                    <w:rPr>
                      <w:rFonts w:ascii="Times New Roman" w:eastAsia="Times New Roman" w:hAnsi="Times New Roman" w:cs="Times New Roman"/>
                      <w:sz w:val="20"/>
                      <w:szCs w:val="20"/>
                    </w:rPr>
                    <w:br/>
                    <w:t xml:space="preserve">2. Chemistry, Middle Tennessee State University, Murfreesboro, TN,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proofErr w:type="gramStart"/>
                  <w:r w:rsidRPr="008746AB">
                    <w:rPr>
                      <w:rFonts w:ascii="Times New Roman" w:eastAsia="Times New Roman" w:hAnsi="Times New Roman" w:cs="Times New Roman"/>
                      <w:sz w:val="20"/>
                      <w:szCs w:val="20"/>
                    </w:rPr>
                    <w:t>Electronic cigarettes (ECs) has</w:t>
                  </w:r>
                  <w:proofErr w:type="gramEnd"/>
                  <w:r w:rsidRPr="008746AB">
                    <w:rPr>
                      <w:rFonts w:ascii="Times New Roman" w:eastAsia="Times New Roman" w:hAnsi="Times New Roman" w:cs="Times New Roman"/>
                      <w:sz w:val="20"/>
                      <w:szCs w:val="20"/>
                    </w:rPr>
                    <w:t xml:space="preserve"> gained popularity partly because of the perception that ECs are less addictive and safer compared to the traditional cigarettes. This research aims to evaluate the validity of this perception. Supporters of ECs usually point out that E-liquids used in ECs are made up of nicotine and harmless components such as propylene glycol, glycerol, and flavoring agents that are generally regarded as safe (GRAS). By analyzing the vapor and aerosol fractions of EC emissions, it is shown additional compounds besides the GRAS constituents can be produced or inhaled. Emissions from ECs are characterized for eleven commercially available E-liquids in two models of EC devices and as a function of different EC voltage settings. Compositions of aerosol particles of different size fractions are analyzed to assess the extent of human exposure to specific chemicals. Deviation of nicotine and other E-liquid constituents from their labelled concentrations are also observed.</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78"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2367039</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TITLE: Entropic and Enthalpic Correlations in S</w:t>
                  </w:r>
                  <w:r w:rsidRPr="008746AB">
                    <w:rPr>
                      <w:rFonts w:ascii="Times New Roman" w:eastAsia="Times New Roman" w:hAnsi="Times New Roman" w:cs="Times New Roman"/>
                      <w:b/>
                      <w:bCs/>
                      <w:sz w:val="20"/>
                      <w:szCs w:val="20"/>
                      <w:vertAlign w:val="subscript"/>
                    </w:rPr>
                    <w:t>N</w:t>
                  </w:r>
                  <w:r w:rsidRPr="008746AB">
                    <w:rPr>
                      <w:rFonts w:ascii="Times New Roman" w:eastAsia="Times New Roman" w:hAnsi="Times New Roman" w:cs="Times New Roman"/>
                      <w:b/>
                      <w:bCs/>
                      <w:sz w:val="20"/>
                      <w:szCs w:val="20"/>
                    </w:rPr>
                    <w:t>2 Reactions between Dianions and Alkyl Halides By Mass Spectrometric Techniques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Nhat Le</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kenrynhat2009@yahoo.com</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Nhat Le</w:t>
                  </w:r>
                  <w:r w:rsidRPr="008746AB">
                    <w:rPr>
                      <w:rFonts w:ascii="Times New Roman" w:eastAsia="Times New Roman" w:hAnsi="Times New Roman" w:cs="Times New Roman"/>
                      <w:sz w:val="20"/>
                      <w:szCs w:val="20"/>
                      <w:vertAlign w:val="superscript"/>
                    </w:rPr>
                    <w:t>2, 4</w:t>
                  </w:r>
                  <w:r w:rsidRPr="008746AB">
                    <w:rPr>
                      <w:rFonts w:ascii="Times New Roman" w:eastAsia="Times New Roman" w:hAnsi="Times New Roman" w:cs="Times New Roman"/>
                      <w:sz w:val="20"/>
                      <w:szCs w:val="20"/>
                    </w:rPr>
                    <w:t>, Scott V. Gronert</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Karl T. Jackson</w:t>
                  </w:r>
                  <w:r w:rsidRPr="008746AB">
                    <w:rPr>
                      <w:rFonts w:ascii="Times New Roman" w:eastAsia="Times New Roman" w:hAnsi="Times New Roman" w:cs="Times New Roman"/>
                      <w:sz w:val="20"/>
                      <w:szCs w:val="20"/>
                      <w:vertAlign w:val="superscript"/>
                    </w:rPr>
                    <w:t>3</w:t>
                  </w:r>
                  <w:r w:rsidRPr="008746AB">
                    <w:rPr>
                      <w:rFonts w:ascii="Times New Roman" w:eastAsia="Times New Roman" w:hAnsi="Times New Roman" w:cs="Times New Roman"/>
                      <w:sz w:val="20"/>
                      <w:szCs w:val="20"/>
                    </w:rPr>
                    <w:t>, Dorothy Eseonu</w:t>
                  </w:r>
                  <w:r w:rsidRPr="008746AB">
                    <w:rPr>
                      <w:rFonts w:ascii="Times New Roman" w:eastAsia="Times New Roman" w:hAnsi="Times New Roman" w:cs="Times New Roman"/>
                      <w:sz w:val="20"/>
                      <w:szCs w:val="20"/>
                      <w:vertAlign w:val="superscript"/>
                    </w:rPr>
                    <w:t>3</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Department of Chemistry, Virginia Commonwealth University, Richmond, VA, United States. </w:t>
                  </w:r>
                  <w:r w:rsidRPr="008746AB">
                    <w:rPr>
                      <w:rFonts w:ascii="Times New Roman" w:eastAsia="Times New Roman" w:hAnsi="Times New Roman" w:cs="Times New Roman"/>
                      <w:sz w:val="20"/>
                      <w:szCs w:val="20"/>
                    </w:rPr>
                    <w:br/>
                    <w:t xml:space="preserve">2. Virginia Union University, Sandston, VA, United States. </w:t>
                  </w:r>
                  <w:r w:rsidRPr="008746AB">
                    <w:rPr>
                      <w:rFonts w:ascii="Times New Roman" w:eastAsia="Times New Roman" w:hAnsi="Times New Roman" w:cs="Times New Roman"/>
                      <w:sz w:val="20"/>
                      <w:szCs w:val="20"/>
                    </w:rPr>
                    <w:br/>
                    <w:t xml:space="preserve">3. Chemistry, Virginia Union </w:t>
                  </w:r>
                  <w:proofErr w:type="gramStart"/>
                  <w:r w:rsidRPr="008746AB">
                    <w:rPr>
                      <w:rFonts w:ascii="Times New Roman" w:eastAsia="Times New Roman" w:hAnsi="Times New Roman" w:cs="Times New Roman"/>
                      <w:sz w:val="20"/>
                      <w:szCs w:val="20"/>
                    </w:rPr>
                    <w:t>University ,</w:t>
                  </w:r>
                  <w:proofErr w:type="gramEnd"/>
                  <w:r w:rsidRPr="008746AB">
                    <w:rPr>
                      <w:rFonts w:ascii="Times New Roman" w:eastAsia="Times New Roman" w:hAnsi="Times New Roman" w:cs="Times New Roman"/>
                      <w:sz w:val="20"/>
                      <w:szCs w:val="20"/>
                    </w:rPr>
                    <w:t xml:space="preserve"> Petersburg, VA, United States. </w:t>
                  </w:r>
                  <w:r w:rsidRPr="008746AB">
                    <w:rPr>
                      <w:rFonts w:ascii="Times New Roman" w:eastAsia="Times New Roman" w:hAnsi="Times New Roman" w:cs="Times New Roman"/>
                      <w:sz w:val="20"/>
                      <w:szCs w:val="20"/>
                    </w:rPr>
                    <w:br/>
                    <w:t xml:space="preserve">4. Virginia Commonwealth University, Richmond, VA,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The purpose of this study is to identify the relationships between entropy and enthalpy with respect to temperature change in substitution and elimination reactions by using dianion species, or doubly-charged anions. The dianions that were used are 6-(3-sulfonatopropoxy)-2-naphthoate (also called naphthoate) and 3-((4'-oxido-[1</w:t>
                  </w:r>
                  <w:proofErr w:type="gramStart"/>
                  <w:r w:rsidRPr="008746AB">
                    <w:rPr>
                      <w:rFonts w:ascii="Times New Roman" w:eastAsia="Times New Roman" w:hAnsi="Times New Roman" w:cs="Times New Roman"/>
                      <w:sz w:val="20"/>
                      <w:szCs w:val="20"/>
                    </w:rPr>
                    <w:t>,1'</w:t>
                  </w:r>
                  <w:proofErr w:type="gramEnd"/>
                  <w:r w:rsidRPr="008746AB">
                    <w:rPr>
                      <w:rFonts w:ascii="Times New Roman" w:eastAsia="Times New Roman" w:hAnsi="Times New Roman" w:cs="Times New Roman"/>
                      <w:sz w:val="20"/>
                      <w:szCs w:val="20"/>
                    </w:rPr>
                    <w:t>-biphenyl]-4-yl)oxy)propane-1-sulfonate (also called biphenoxide). A series of reactions between dianions and alkyl halides were carried out to determine the relative rate constants of the reactions through the usage of mass spectrometry. We are especially interested in the reactions between dianions and the aromatic halides with special variations in their substituents. From the mass to charge ratio of the product formations, the rate constants of individual substitution and elimination mechanisms are determined from the pseudo first order reactions. With some modifications between Arrhenius and Eyring-Polanyi equation, we were able to compute the experimental values of entropy and enthalpy for substitution reactions from relative rate constants collected from the mass spectra. The experimental barriers or activation energy will then be compared to ones computed values in our previous quantum mechanical studies. Overall, the data shows that S</w:t>
                  </w:r>
                  <w:r w:rsidRPr="008746AB">
                    <w:rPr>
                      <w:rFonts w:ascii="Times New Roman" w:eastAsia="Times New Roman" w:hAnsi="Times New Roman" w:cs="Times New Roman"/>
                      <w:sz w:val="20"/>
                      <w:szCs w:val="20"/>
                      <w:vertAlign w:val="subscript"/>
                    </w:rPr>
                    <w:t>N</w:t>
                  </w:r>
                  <w:r w:rsidRPr="008746AB">
                    <w:rPr>
                      <w:rFonts w:ascii="Times New Roman" w:eastAsia="Times New Roman" w:hAnsi="Times New Roman" w:cs="Times New Roman"/>
                      <w:sz w:val="20"/>
                      <w:szCs w:val="20"/>
                    </w:rPr>
                    <w:t>2 transition states are surprisingly flexible and allow for much compensation between enthalpy and entropy effects than expected.</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resubmitted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79"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2367480</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POLYSACCHARIDE-MEDIATED FORMATION OF PIGMENTS FROM CATECHOLAMINES</w:t>
                  </w:r>
                  <w:r w:rsidRPr="008746AB">
                    <w:rPr>
                      <w:rFonts w:ascii="Times New Roman" w:eastAsia="Times New Roman" w:hAnsi="Times New Roman" w:cs="Times New Roman"/>
                      <w:sz w:val="20"/>
                      <w:szCs w:val="20"/>
                    </w:rPr>
                    <w:br/>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Majidah Alhumaidi</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al.majidah@gmail.com</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Majidah Alhumaidi</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Koen Vercruysse</w:t>
                  </w:r>
                  <w:r w:rsidRPr="008746AB">
                    <w:rPr>
                      <w:rFonts w:ascii="Times New Roman" w:eastAsia="Times New Roman" w:hAnsi="Times New Roman" w:cs="Times New Roman"/>
                      <w:sz w:val="20"/>
                      <w:szCs w:val="20"/>
                      <w:vertAlign w:val="superscript"/>
                    </w:rPr>
                    <w:t>2</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Chemistry, Tennessee State University, Nashville, TN, United States. </w:t>
                  </w:r>
                  <w:r w:rsidRPr="008746AB">
                    <w:rPr>
                      <w:rFonts w:ascii="Times New Roman" w:eastAsia="Times New Roman" w:hAnsi="Times New Roman" w:cs="Times New Roman"/>
                      <w:sz w:val="20"/>
                      <w:szCs w:val="20"/>
                    </w:rPr>
                    <w:br/>
                    <w:t xml:space="preserve">2. Tennessee State University, Nashville, TN,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Catecholamines like dopamine, epinephrine or norepinephrine can serve as precursors for the formation of melanin-like pigments. Polysaccharides have been observed to enhance the oxidation of these catecholamines, particularly in the presence of redox-sensitive ions like Cu</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leading to the formation of darkly colored substances. In this portion of the research, we investigated the effects of: (1) reaction time, (2) type of polysaccharide, (3) type of cation and (4) concentration of all reagents involved. These parameters were evaluated to determine the conditions that would yield the highest amount of polysaccharide-associated pigment. Following the reactions, the pigments can be centrifuged or dialyzed, washed with water and lyophilized. Pigmented materials were evaluated and characterized using UV_Sis spectroscopy, RP-HPLC, SEC, AAS and FT_IR analyses.</w:t>
                  </w:r>
                  <w:r w:rsidRPr="008746AB">
                    <w:rPr>
                      <w:rFonts w:ascii="Times New Roman" w:eastAsia="Times New Roman" w:hAnsi="Times New Roman" w:cs="Times New Roman"/>
                      <w:sz w:val="20"/>
                      <w:szCs w:val="20"/>
                    </w:rPr>
                    <w:br/>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80"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2367481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i/>
                      <w:iCs/>
                      <w:sz w:val="20"/>
                      <w:szCs w:val="20"/>
                    </w:rPr>
                    <w:t>POLYSACCHARIDE- MEDIATED FORMATION OF PIGMENTS FROM SEROTONIN</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Noor Alattas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alattasnoor1020@hotmail.com</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Noor A. Alattas</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Koen Vercruysse</w:t>
                  </w:r>
                  <w:r w:rsidRPr="008746AB">
                    <w:rPr>
                      <w:rFonts w:ascii="Times New Roman" w:eastAsia="Times New Roman" w:hAnsi="Times New Roman" w:cs="Times New Roman"/>
                      <w:sz w:val="20"/>
                      <w:szCs w:val="20"/>
                      <w:vertAlign w:val="superscript"/>
                    </w:rPr>
                    <w:t>2</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Chemistry, Tennessee State University, Nashville, TN, United States. </w:t>
                  </w:r>
                  <w:r w:rsidRPr="008746AB">
                    <w:rPr>
                      <w:rFonts w:ascii="Times New Roman" w:eastAsia="Times New Roman" w:hAnsi="Times New Roman" w:cs="Times New Roman"/>
                      <w:sz w:val="20"/>
                      <w:szCs w:val="20"/>
                    </w:rPr>
                    <w:br/>
                    <w:t xml:space="preserve">2. Chemistry, Tennessee State University, Nashville, TN,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i/>
                      <w:iCs/>
                      <w:sz w:val="20"/>
                      <w:szCs w:val="20"/>
                    </w:rPr>
                    <w:t>Serotonin is a potent neurotransmitter affecting many aspects of human behavior or function. Copper-mediated metabolism of serotonin has been implicated in a number of neuropathologies like Wilson’s disease or prion diseases. Serotonin is known to undergo enzymatic or non-enzymatic oxidation, and the oxidation products of serotonin have been postulated to be neurotoxic. We have observed that some polysaccharides, when incubated with Cu (II) cation, can induce the formation of darkly colored substances in the presence of serotonin. These observations are in line with the formation of darkly colored substances out of catecholamine like dopamine, epinephrine or norepinephrine, in the presence of polysaccharide/Cu (II) complexes. Here we report on our findings regarding the effect of different polysaccharides on this reaction and our attempts to characterize the darkly colored substances generated in these reactions.</w:t>
                  </w:r>
                  <w:r w:rsidRPr="008746AB">
                    <w:rPr>
                      <w:rFonts w:ascii="Times New Roman" w:eastAsia="Times New Roman" w:hAnsi="Times New Roman" w:cs="Times New Roman"/>
                      <w:sz w:val="20"/>
                      <w:szCs w:val="20"/>
                    </w:rPr>
                    <w:br/>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81"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2367502</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TITLE: Investigation of Speciation of Cu</w:t>
                  </w:r>
                  <w:r w:rsidRPr="008746AB">
                    <w:rPr>
                      <w:rFonts w:ascii="Times New Roman" w:eastAsia="Times New Roman" w:hAnsi="Times New Roman" w:cs="Times New Roman"/>
                      <w:b/>
                      <w:bCs/>
                      <w:sz w:val="20"/>
                      <w:szCs w:val="20"/>
                      <w:vertAlign w:val="superscript"/>
                    </w:rPr>
                    <w:t>2+</w:t>
                  </w:r>
                  <w:r w:rsidRPr="008746AB">
                    <w:rPr>
                      <w:rFonts w:ascii="Times New Roman" w:eastAsia="Times New Roman" w:hAnsi="Times New Roman" w:cs="Times New Roman"/>
                      <w:b/>
                      <w:bCs/>
                      <w:sz w:val="20"/>
                      <w:szCs w:val="20"/>
                    </w:rPr>
                    <w:t xml:space="preserve"> in the Synthesis of HKUST-1 Using UV-Visible Spectrophotometry</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Corshai Williams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corshaiwilliams@yahoo.com</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Corshai Williams</w:t>
                  </w:r>
                  <w:r w:rsidRPr="008746AB">
                    <w:rPr>
                      <w:rFonts w:ascii="Times New Roman" w:eastAsia="Times New Roman" w:hAnsi="Times New Roman" w:cs="Times New Roman"/>
                      <w:sz w:val="20"/>
                      <w:szCs w:val="20"/>
                      <w:vertAlign w:val="superscript"/>
                    </w:rPr>
                    <w:t>3</w:t>
                  </w:r>
                  <w:r w:rsidRPr="008746AB">
                    <w:rPr>
                      <w:rFonts w:ascii="Times New Roman" w:eastAsia="Times New Roman" w:hAnsi="Times New Roman" w:cs="Times New Roman"/>
                      <w:sz w:val="20"/>
                      <w:szCs w:val="20"/>
                    </w:rPr>
                    <w:t>, Karl T. Jackson</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Dorothy Eseonu</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Nhat Le</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Virginia Union University, Sandston, VA, United States. </w:t>
                  </w:r>
                  <w:r w:rsidRPr="008746AB">
                    <w:rPr>
                      <w:rFonts w:ascii="Times New Roman" w:eastAsia="Times New Roman" w:hAnsi="Times New Roman" w:cs="Times New Roman"/>
                      <w:sz w:val="20"/>
                      <w:szCs w:val="20"/>
                    </w:rPr>
                    <w:br/>
                    <w:t xml:space="preserve">2. Chemistry, Virginia Union University, Petersburg, VA, United States. </w:t>
                  </w:r>
                  <w:r w:rsidRPr="008746AB">
                    <w:rPr>
                      <w:rFonts w:ascii="Times New Roman" w:eastAsia="Times New Roman" w:hAnsi="Times New Roman" w:cs="Times New Roman"/>
                      <w:sz w:val="20"/>
                      <w:szCs w:val="20"/>
                    </w:rPr>
                    <w:br/>
                    <w:t xml:space="preserve">3. Natural &amp; Physical </w:t>
                  </w:r>
                  <w:proofErr w:type="gramStart"/>
                  <w:r w:rsidRPr="008746AB">
                    <w:rPr>
                      <w:rFonts w:ascii="Times New Roman" w:eastAsia="Times New Roman" w:hAnsi="Times New Roman" w:cs="Times New Roman"/>
                      <w:sz w:val="20"/>
                      <w:szCs w:val="20"/>
                    </w:rPr>
                    <w:t>Science ,</w:t>
                  </w:r>
                  <w:proofErr w:type="gramEnd"/>
                  <w:r w:rsidRPr="008746AB">
                    <w:rPr>
                      <w:rFonts w:ascii="Times New Roman" w:eastAsia="Times New Roman" w:hAnsi="Times New Roman" w:cs="Times New Roman"/>
                      <w:sz w:val="20"/>
                      <w:szCs w:val="20"/>
                    </w:rPr>
                    <w:t xml:space="preserve"> Virginia Union University , Richmond, VA,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Metal Organic Frameworks (MOFs) are 1D, 2D, and 3D crystalline compounds that are composed of metal ions or clusters as a center and organic molecule ligands as linkers, often varying in porosity. HKUST-1 (also called MOF-199, Cu-BTC) is a copper based MOF forming blue crystals under solvothermal conditions. HKUST-1 is synthesized using Cu</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xml:space="preserve"> and Trimesic acid (TMA) dissolved in Dimethylformamide (DMF). The investigation of speciation is observed using UV-Visible Spectrophotometry. The speciation of the Cu</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xml:space="preserve"> ion is attained through pre-heated samples of Copper/TMA solutions (at various time intervals throughout heating), the mother liquor of the synthesized MOF, and HKUST-1 itself. The primary </w:t>
                  </w:r>
                  <w:proofErr w:type="gramStart"/>
                  <w:r w:rsidRPr="008746AB">
                    <w:rPr>
                      <w:rFonts w:ascii="Times New Roman" w:eastAsia="Times New Roman" w:hAnsi="Times New Roman" w:cs="Times New Roman"/>
                      <w:sz w:val="20"/>
                      <w:szCs w:val="20"/>
                    </w:rPr>
                    <w:t>parameters of investigation is</w:t>
                  </w:r>
                  <w:proofErr w:type="gramEnd"/>
                  <w:r w:rsidRPr="008746AB">
                    <w:rPr>
                      <w:rFonts w:ascii="Times New Roman" w:eastAsia="Times New Roman" w:hAnsi="Times New Roman" w:cs="Times New Roman"/>
                      <w:sz w:val="20"/>
                      <w:szCs w:val="20"/>
                    </w:rPr>
                    <w:t xml:space="preserve"> the ratio (in grams) of Cu</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xml:space="preserve"> to TMA and heating time. After the data is obtained comparisons will be made to spectrum of the copper precursor (</w:t>
                  </w:r>
                  <w:proofErr w:type="gramStart"/>
                  <w:r w:rsidRPr="008746AB">
                    <w:rPr>
                      <w:rFonts w:ascii="Times New Roman" w:eastAsia="Times New Roman" w:hAnsi="Times New Roman" w:cs="Times New Roman"/>
                      <w:sz w:val="20"/>
                      <w:szCs w:val="20"/>
                    </w:rPr>
                    <w:t>Cu(</w:t>
                  </w:r>
                  <w:proofErr w:type="gramEnd"/>
                  <w:r w:rsidRPr="008746AB">
                    <w:rPr>
                      <w:rFonts w:ascii="Times New Roman" w:eastAsia="Times New Roman" w:hAnsi="Times New Roman" w:cs="Times New Roman"/>
                      <w:sz w:val="20"/>
                      <w:szCs w:val="20"/>
                    </w:rPr>
                    <w:t>NO</w:t>
                  </w:r>
                  <w:r w:rsidRPr="008746AB">
                    <w:rPr>
                      <w:rFonts w:ascii="Times New Roman" w:eastAsia="Times New Roman" w:hAnsi="Times New Roman" w:cs="Times New Roman"/>
                      <w:sz w:val="20"/>
                      <w:szCs w:val="20"/>
                      <w:vertAlign w:val="subscript"/>
                    </w:rPr>
                    <w:t>3</w:t>
                  </w:r>
                  <w:r w:rsidRPr="008746AB">
                    <w:rPr>
                      <w:rFonts w:ascii="Times New Roman" w:eastAsia="Times New Roman" w:hAnsi="Times New Roman" w:cs="Times New Roman"/>
                      <w:sz w:val="20"/>
                      <w:szCs w:val="20"/>
                    </w:rPr>
                    <w:t>)</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-2.5H</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O) in DMF and Trimesic acid in DMF.</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resubmitted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82"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2367582</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TITLE: Magnetic Enhancement in Powerchip LIBS Microplasmas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Jonathan Merten</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jmerten@astate.edu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Jonathan A. Merten</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Mark Northcutt</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Chemistry and Physics, Arkansas State University, State University, AR,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Preferred</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 xml:space="preserve">Laser-induced breakdown spectroscopy (LIBS) uses a laser to ablate and simultaneously excite sample atoms, creating </w:t>
                  </w:r>
                  <w:proofErr w:type="gramStart"/>
                  <w:r w:rsidRPr="008746AB">
                    <w:rPr>
                      <w:rFonts w:ascii="Times New Roman" w:eastAsia="Times New Roman" w:hAnsi="Times New Roman" w:cs="Times New Roman"/>
                      <w:sz w:val="20"/>
                      <w:szCs w:val="20"/>
                    </w:rPr>
                    <w:t>an emissive</w:t>
                  </w:r>
                  <w:proofErr w:type="gramEnd"/>
                  <w:r w:rsidRPr="008746AB">
                    <w:rPr>
                      <w:rFonts w:ascii="Times New Roman" w:eastAsia="Times New Roman" w:hAnsi="Times New Roman" w:cs="Times New Roman"/>
                      <w:sz w:val="20"/>
                      <w:szCs w:val="20"/>
                    </w:rPr>
                    <w:t xml:space="preserve"> plasma. Powerchip lasers (a derivative of microchip lasers) achieve kilohertz repetition rates and subnanosecond pulse lengths with low M</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xml:space="preserve"> values. Their pulse energies are modest, on the order of ~50 µJ, resulting in very fast-evolving plasmas. The passive q-switching employed in commercial powerchip models results in microseconds of jitter, making time-resolved measurements difficult, as the plasmas persist for only ~100 ns. Because these plasmas are particularly fast-evolving, they should benefit from magnetic field confinement/enhancement. Magnetic fields have been shown to improve limits of detection with conventional flashlamp-pumped LIBS, making the plasmas hotter and longer-lasting. This study presents time-resolved measurements of powerchip LIBS plasmas formed with and without magnetic fields produced by rare-earth ring magnets.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83"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2367804</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Optimization of a Measurement System for pH Measurement in Tear Fluid Samples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Bradley Hambly</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bhambly@memphis.edu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Bradley P. Hambly</w:t>
                  </w:r>
                  <w:r w:rsidRPr="008746AB">
                    <w:rPr>
                      <w:rFonts w:ascii="Times New Roman" w:eastAsia="Times New Roman" w:hAnsi="Times New Roman" w:cs="Times New Roman"/>
                      <w:sz w:val="20"/>
                      <w:szCs w:val="20"/>
                      <w:vertAlign w:val="superscript"/>
                    </w:rPr>
                    <w:t>3</w:t>
                  </w:r>
                  <w:r w:rsidRPr="008746AB">
                    <w:rPr>
                      <w:rFonts w:ascii="Times New Roman" w:eastAsia="Times New Roman" w:hAnsi="Times New Roman" w:cs="Times New Roman"/>
                      <w:sz w:val="20"/>
                      <w:szCs w:val="20"/>
                    </w:rPr>
                    <w:t>, Erno Lindner</w:t>
                  </w:r>
                  <w:r w:rsidRPr="008746AB">
                    <w:rPr>
                      <w:rFonts w:ascii="Times New Roman" w:eastAsia="Times New Roman" w:hAnsi="Times New Roman" w:cs="Times New Roman"/>
                      <w:sz w:val="20"/>
                      <w:szCs w:val="20"/>
                      <w:vertAlign w:val="superscript"/>
                    </w:rPr>
                    <w:t>3</w:t>
                  </w:r>
                  <w:r w:rsidRPr="008746AB">
                    <w:rPr>
                      <w:rFonts w:ascii="Times New Roman" w:eastAsia="Times New Roman" w:hAnsi="Times New Roman" w:cs="Times New Roman"/>
                      <w:sz w:val="20"/>
                      <w:szCs w:val="20"/>
                    </w:rPr>
                    <w:t>, Evgueni Pinkhassik</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Sergey Dergunov</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Department of Chemistry, Saint Louis University, Saint Louis, MO, United States. </w:t>
                  </w:r>
                  <w:r w:rsidRPr="008746AB">
                    <w:rPr>
                      <w:rFonts w:ascii="Times New Roman" w:eastAsia="Times New Roman" w:hAnsi="Times New Roman" w:cs="Times New Roman"/>
                      <w:sz w:val="20"/>
                      <w:szCs w:val="20"/>
                    </w:rPr>
                    <w:br/>
                    <w:t xml:space="preserve">2. Dept of Chemistry, Saint Louis University, Saint Louis, MO, United States. </w:t>
                  </w:r>
                  <w:r w:rsidRPr="008746AB">
                    <w:rPr>
                      <w:rFonts w:ascii="Times New Roman" w:eastAsia="Times New Roman" w:hAnsi="Times New Roman" w:cs="Times New Roman"/>
                      <w:sz w:val="20"/>
                      <w:szCs w:val="20"/>
                    </w:rPr>
                    <w:br/>
                    <w:t xml:space="preserve">3. Biomedical Engineering, University of </w:t>
                  </w:r>
                  <w:proofErr w:type="gramStart"/>
                  <w:r w:rsidRPr="008746AB">
                    <w:rPr>
                      <w:rFonts w:ascii="Times New Roman" w:eastAsia="Times New Roman" w:hAnsi="Times New Roman" w:cs="Times New Roman"/>
                      <w:sz w:val="20"/>
                      <w:szCs w:val="20"/>
                    </w:rPr>
                    <w:t>Memphis ,</w:t>
                  </w:r>
                  <w:proofErr w:type="gramEnd"/>
                  <w:r w:rsidRPr="008746AB">
                    <w:rPr>
                      <w:rFonts w:ascii="Times New Roman" w:eastAsia="Times New Roman" w:hAnsi="Times New Roman" w:cs="Times New Roman"/>
                      <w:sz w:val="20"/>
                      <w:szCs w:val="20"/>
                    </w:rPr>
                    <w:t xml:space="preserve"> Memphis, TN,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 xml:space="preserve">Measuring tear film composition is an essential step in the diagnosis of Dry Eye Syndrome (DES). In many cases, difficulties with sample collection—small tear volume—prevent the use of traditional analytical techniques. Microfluidic systems with integrated sensors offer an attractive solution to analyze samples with very small volume. The purpose of this project is to characterize an optical pH sensor in a microfluidic flow-through system to measure pH for small sample volumes. Optical sensors have several advantages over traditional glass electrodes; however, the sensitivity, sluggish response, and short life-time make many optical pH sensors unsuitable for many analytical applications. A high concentration of a pH sensitive dye was encapsulated into ~200 nm diameter porous nanocapsules with ~1 nm wall thickness to alleviate some of these drawbacks. The dye-loaded nanocapsules allow for rapid diffusion of small molecules and ions into the nanocapsules while eliminating the leaching of the encapsulated indicator dye. Immobilizing the dye-loaded nanocapsules into porous polyvinyl alcohol (PVA) produces a robust and versatile sensor platform. The nanocapsule-PVA gels are molded and embedded into a microfluidic </w:t>
                  </w:r>
                  <w:proofErr w:type="gramStart"/>
                  <w:r w:rsidRPr="008746AB">
                    <w:rPr>
                      <w:rFonts w:ascii="Times New Roman" w:eastAsia="Times New Roman" w:hAnsi="Times New Roman" w:cs="Times New Roman"/>
                      <w:sz w:val="20"/>
                      <w:szCs w:val="20"/>
                    </w:rPr>
                    <w:t>system .</w:t>
                  </w:r>
                  <w:proofErr w:type="gramEnd"/>
                  <w:r w:rsidRPr="008746AB">
                    <w:rPr>
                      <w:rFonts w:ascii="Times New Roman" w:eastAsia="Times New Roman" w:hAnsi="Times New Roman" w:cs="Times New Roman"/>
                      <w:sz w:val="20"/>
                      <w:szCs w:val="20"/>
                    </w:rPr>
                    <w:t xml:space="preserve"> The effect of gel geometry and nanocapsule concentration on response time and sensitivity are studied to optimize sensor performance. </w:t>
                  </w:r>
                  <w:r w:rsidRPr="008746AB">
                    <w:rPr>
                      <w:rFonts w:ascii="Times New Roman" w:eastAsia="Times New Roman" w:hAnsi="Times New Roman" w:cs="Times New Roman"/>
                      <w:sz w:val="20"/>
                      <w:szCs w:val="20"/>
                    </w:rPr>
                    <w:br/>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84"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2367946</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Radiocarbon Dating Rock Paintings at Eagle Cave, TX</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Petty Samuel | DeYoung Jessica</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spetty1@cub.uca.edu | jdeyoung1@cub.uca.edu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Petty Samuel</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DeYoung Jessica</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Allen Trinidy</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Karen L. Steelman</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Chemistry, University of Central Arkansas, Conway, AR,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Preferred</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Our laboratory determined age estimates for three Pecos River Style paintings in Eagle Cave, a rock shelter in southwest Texas</w:t>
                  </w:r>
                  <w:proofErr w:type="gramStart"/>
                  <w:r w:rsidRPr="008746AB">
                    <w:rPr>
                      <w:rFonts w:ascii="Times New Roman" w:eastAsia="Times New Roman" w:hAnsi="Times New Roman" w:cs="Times New Roman"/>
                      <w:sz w:val="20"/>
                      <w:szCs w:val="20"/>
                    </w:rPr>
                    <w:t>, using</w:t>
                  </w:r>
                  <w:proofErr w:type="gramEnd"/>
                  <w:r w:rsidRPr="008746AB">
                    <w:rPr>
                      <w:rFonts w:ascii="Times New Roman" w:eastAsia="Times New Roman" w:hAnsi="Times New Roman" w:cs="Times New Roman"/>
                      <w:sz w:val="20"/>
                      <w:szCs w:val="20"/>
                    </w:rPr>
                    <w:t xml:space="preserve"> a combination of oxidative plasma and accelerator mass spectrometry. For the paint layer samples, we utilized low-temperature oxygen plasma reactions which oxidize the organic binders present in the paint to carbon dioxide which was collected for radiocarbon measurement. We also sampled overlying and underlying accretion layers to be dated separately in order to determine minimum and maximum dates. The accretion layers contain calcium oxalate, which was identified using Fourier Transform Infrared spectroscopy, isolated using acid treatments, and then cleaned using plasma oxidation. The calcium oxalate samples were then sent for combustion and accelerator mass spectrometry radiocarbon dating. The dates for the three paint layer samples are all statistically indistinguishable giving a weighted average of 3280±70 years BP. The accretion layer dates also agreed with the paint layer dates with the outermost layer being younger and the underneath layer being older. This agreement suggests that both dating methods are producing valid results. With more excavation in the Eagle Cave area underway, rock paintings can now give us a better understanding of the hunter-gather society of the time.</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85"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2368049</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Using fluorescent probes to study the location and interaction of disaccharides with lipid bilayers.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Morgan Barker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barkerm09@students.ecu.edu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Morgan Barker</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Anthony M. Kennedy</w:t>
                  </w:r>
                  <w:r w:rsidRPr="008746AB">
                    <w:rPr>
                      <w:rFonts w:ascii="Times New Roman" w:eastAsia="Times New Roman" w:hAnsi="Times New Roman" w:cs="Times New Roman"/>
                      <w:sz w:val="20"/>
                      <w:szCs w:val="20"/>
                      <w:vertAlign w:val="superscript"/>
                    </w:rPr>
                    <w:t>2</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Chemistry, East Carolina University, Greenville, NC, United States. </w:t>
                  </w:r>
                  <w:r w:rsidRPr="008746AB">
                    <w:rPr>
                      <w:rFonts w:ascii="Times New Roman" w:eastAsia="Times New Roman" w:hAnsi="Times New Roman" w:cs="Times New Roman"/>
                      <w:sz w:val="20"/>
                      <w:szCs w:val="20"/>
                    </w:rPr>
                    <w:br/>
                    <w:t xml:space="preserve">2. Mailstop 552, East Carolina University, Greenville, NC,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Certain organisms have the capability of surviving complete dehydration, freezing and/or oxygen deficiency. One such organism is the tardigrade, also known as the “water bear.” The tardigrade can enter a state of self-preservation where it can withstand extreme conditions, such as high and low temperatures, high pressures and radiation. The tardigrade’s ability to survive such extreme conditions is associated with a decrease in internal water content and the excess production of a disaccharide known as trehalose. Our study uses fluorescence spectroscopy to probe the location of disaccharides in model membranes and the type of interactions between these sugars and membrane lipids.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86"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2368094</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Thermal stability of gelatin gels confined to silica gel nanopores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Jennifer Prado</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barnes08@uab.edu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Jennifer R. Prado</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Sergey V. Vyazovkin</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Univ of Alabama, Birmingham, AL, United States. </w:t>
                  </w:r>
                  <w:r w:rsidRPr="008746AB">
                    <w:rPr>
                      <w:rFonts w:ascii="Times New Roman" w:eastAsia="Times New Roman" w:hAnsi="Times New Roman" w:cs="Times New Roman"/>
                      <w:sz w:val="20"/>
                      <w:szCs w:val="20"/>
                    </w:rPr>
                    <w:br/>
                    <w:t xml:space="preserve">2. Chemistry, University of Alabama Birmingham, Odenville, AL,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This research explores the effect of nanoconfinement on the thermal stability of gelatin gels prepared inside 4, 6, 15, and 30 nm pores of a silica gel matrix. Differential scanning calorimetry and isoconversional analysis were employed to quantify the kinetic parameters associated with gel melting. It was found that nanoconfining gels decreased the heat of melting and shifted gel melting to a higher temperature with the largest effect for the 6 nm pore size and the elimination of gel formation in the 4 nm nanopores. Analysis of the effective activation energy of the gel melting revealed a surprising decrease upon nanoconfinement indicating that the enhancement of thermal stability was due to a decrease in the pre-exponential factor.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87"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2368166</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Rapid LC-MS/MS analysis of chlorogenic acid, phlorizin, epicatehin, and catechin in apple juice</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Matthew Vergne</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matt.vergne@lipscomb.edu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Matthew J. Vergne</w:t>
                  </w:r>
                  <w:r w:rsidRPr="008746AB">
                    <w:rPr>
                      <w:rFonts w:ascii="Times New Roman" w:eastAsia="Times New Roman" w:hAnsi="Times New Roman" w:cs="Times New Roman"/>
                      <w:sz w:val="20"/>
                      <w:szCs w:val="20"/>
                      <w:vertAlign w:val="superscript"/>
                    </w:rPr>
                    <w:t>3</w:t>
                  </w:r>
                  <w:r w:rsidRPr="008746AB">
                    <w:rPr>
                      <w:rFonts w:ascii="Times New Roman" w:eastAsia="Times New Roman" w:hAnsi="Times New Roman" w:cs="Times New Roman"/>
                      <w:sz w:val="20"/>
                      <w:szCs w:val="20"/>
                    </w:rPr>
                    <w:t>, Lincoln Shade</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Shajedul Islam</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Ankit Patras</w:t>
                  </w:r>
                  <w:r w:rsidRPr="008746AB">
                    <w:rPr>
                      <w:rFonts w:ascii="Times New Roman" w:eastAsia="Times New Roman" w:hAnsi="Times New Roman" w:cs="Times New Roman"/>
                      <w:sz w:val="20"/>
                      <w:szCs w:val="20"/>
                      <w:vertAlign w:val="superscript"/>
                    </w:rPr>
                    <w:t>2</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Chemistry, Lipscomb University, Nashville, TN, United States. </w:t>
                  </w:r>
                  <w:r w:rsidRPr="008746AB">
                    <w:rPr>
                      <w:rFonts w:ascii="Times New Roman" w:eastAsia="Times New Roman" w:hAnsi="Times New Roman" w:cs="Times New Roman"/>
                      <w:sz w:val="20"/>
                      <w:szCs w:val="20"/>
                    </w:rPr>
                    <w:br/>
                    <w:t xml:space="preserve">2. Agricultural and Environmental Sciences, Tennessee State University, Nashville, TN, United States. </w:t>
                  </w:r>
                  <w:r w:rsidRPr="008746AB">
                    <w:rPr>
                      <w:rFonts w:ascii="Times New Roman" w:eastAsia="Times New Roman" w:hAnsi="Times New Roman" w:cs="Times New Roman"/>
                      <w:sz w:val="20"/>
                      <w:szCs w:val="20"/>
                    </w:rPr>
                    <w:br/>
                    <w:t xml:space="preserve">3. Pharmaceutical Sciences, Lipscomb University, Nashville, TN,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Preferred</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Apple juice contains several antioxidants that may provide health benefits. A quantitation method for four antioxidants in apple juice was developed. Chlorogenic acid, phlorizin, epicatechin, and (+)-catechin were chromatographically separated using a UHPLC method coupled to a ultraviolet/visible photo diode array detector (UV-vis PDA) and a triple quadrupole mass spectrometer (LC-MS/MS). Chromatographic separation was carried out with a UHPLC column (2.6 micron, 5 X 2.1 mm C18 stationary phase) with a 6.5 minute cycle gradient elution time program. The flow rate was 0.75 mL/min; the mobile phase consisted of 0.1% TFA in water and 0.1% TFA in acetonitrile. Chlorgenic acid and phlorizin were quantified at the 320 nm wavelength using UV-Vis spectroscopy. The LC-MS/MS was used to quantify epicatechin and (+)-catechin to provide more sensitivity than the UV-Vis PDA detector could provide for catechins. A set of standards were prepared for the analytes. Calibration curves were either linear fit or quadratic fit with 1/C weighting. The fresh apple juice sample contained 40.40 µg/mL of chlorogenic acid, 17.91 µg/mL of phlorizin, 1.03 µg/mL of epicatechin and 0.29 µg/mL of (+)-catechin. In comparison, pasteurization reduced the amounts of antioxidants in the bottled juice. The pasteurized bottled apple juice contained 2.89 µg/mL of chlorogenic acid, 1.88 μg/mL of phlorizin, 0.16 µg/mL of epicatechin, and 0.16 µg/mL of (+)-catechin.</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resubmitted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88"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2368470</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Coronene diimide containing polymer films via Electropolymerization of diphenylamine end groups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Samir Paul</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scp0010@auburn.edu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Samir C. Paul</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Vince Cammarata</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Chemistry &amp; Biochemistry, Auburn University, Auburn, AL,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Here we report the synthesis of a new monomer containing coronene diimide with diphenylamine end group (DCTD) and its electropolymerization. The polymer thin films of DCTD were grown onto gold, glassy carbon and ITO electrode surfaces. Cyclic voltammetry of the resulting polymers show a reversible 2e</w:t>
                  </w:r>
                  <w:r w:rsidRPr="008746AB">
                    <w:rPr>
                      <w:rFonts w:ascii="Times New Roman" w:eastAsia="Times New Roman" w:hAnsi="Times New Roman" w:cs="Times New Roman"/>
                      <w:sz w:val="20"/>
                      <w:szCs w:val="20"/>
                      <w:vertAlign w:val="superscript"/>
                    </w:rPr>
                    <w:t>-</w:t>
                  </w:r>
                  <w:r w:rsidRPr="008746AB">
                    <w:rPr>
                      <w:rFonts w:ascii="Times New Roman" w:eastAsia="Times New Roman" w:hAnsi="Times New Roman" w:cs="Times New Roman"/>
                      <w:sz w:val="20"/>
                      <w:szCs w:val="20"/>
                    </w:rPr>
                    <w:t xml:space="preserve"> oxidation of the diphenyl benzidine unit and reversible reductions of the aromatic diimide. The spectroelectrochemical, electrochromic and electrochemical impedance properties of these films were evaluated. The polymer film morphology was characterized by AFM.</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89"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2368491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TITLE: Comparison of two analytical methods for the measurement of nitrate concentrations across different concentration ranges of standard solutions and environmental samples.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Michael Morton</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mmorton1@ggc.edu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Michael S. Morton</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Gary Prusky</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School of Science and Technology, Georgia Gwinnett College, Lawrenceville, GA,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Preliminary analysis of river water samples collected on the Little Shoe Heel Creek for nitrate ion concentrations using two different analytical techniques indicated that the methods were giving statistically different results. A UV/Visible Spectroscopic method outlined in the 16</w:t>
                  </w:r>
                  <w:r w:rsidRPr="008746AB">
                    <w:rPr>
                      <w:rFonts w:ascii="Times New Roman" w:eastAsia="Times New Roman" w:hAnsi="Times New Roman" w:cs="Times New Roman"/>
                      <w:sz w:val="20"/>
                      <w:szCs w:val="20"/>
                      <w:vertAlign w:val="superscript"/>
                    </w:rPr>
                    <w:t>th</w:t>
                  </w:r>
                  <w:r w:rsidRPr="008746AB">
                    <w:rPr>
                      <w:rFonts w:ascii="Times New Roman" w:eastAsia="Times New Roman" w:hAnsi="Times New Roman" w:cs="Times New Roman"/>
                      <w:sz w:val="20"/>
                      <w:szCs w:val="20"/>
                    </w:rPr>
                    <w:t xml:space="preserve"> edition of Standard Methods: For the Examination of Water and Wastewater and an ion selective electrode method using the Horiba B-34X Compact Nitrate Ion Meter were used to analyze the water samples. Preliminary results indicated that concentrations found in collected environmental samples showed statistically different outcomes between the two methods. In order to determine if the two methods were in fact giving statistically different results across a range of concentrations, a controlled set of samples were prepared both at lower concentrations and higher concentrations. Standardized nitrate ion samples, standardized mixed nitrate-nitrite ion samples and environmental water samples were prepared or collected and analyzed using the two methods. Statistical analysis using both the t-test and the f-test of the resulting paired data sets will be presented and discussed.</w:t>
                  </w:r>
                  <w:r w:rsidRPr="008746AB">
                    <w:rPr>
                      <w:rFonts w:ascii="Times New Roman" w:eastAsia="Times New Roman" w:hAnsi="Times New Roman" w:cs="Times New Roman"/>
                      <w:sz w:val="20"/>
                      <w:szCs w:val="20"/>
                    </w:rPr>
                    <w:br/>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90"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2368584</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Analysis of Ambient Air Pollution at Natural Gas Production Facilities by GC/MS and FTIR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Prithviraj Sripathi</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ps3n@mtmail.mtsu.edu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Prithviraj Sripathi</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Sara Wylie</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Vera Lourdes</w:t>
                  </w:r>
                  <w:r w:rsidRPr="008746AB">
                    <w:rPr>
                      <w:rFonts w:ascii="Times New Roman" w:eastAsia="Times New Roman" w:hAnsi="Times New Roman" w:cs="Times New Roman"/>
                      <w:sz w:val="20"/>
                      <w:szCs w:val="20"/>
                      <w:vertAlign w:val="superscript"/>
                    </w:rPr>
                    <w:t>2</w:t>
                  </w:r>
                  <w:r w:rsidRPr="008746AB">
                    <w:rPr>
                      <w:rFonts w:ascii="Times New Roman" w:eastAsia="Times New Roman" w:hAnsi="Times New Roman" w:cs="Times New Roman"/>
                      <w:sz w:val="20"/>
                      <w:szCs w:val="20"/>
                    </w:rPr>
                    <w:t>, Sharon Wilson</w:t>
                  </w:r>
                  <w:r w:rsidRPr="008746AB">
                    <w:rPr>
                      <w:rFonts w:ascii="Times New Roman" w:eastAsia="Times New Roman" w:hAnsi="Times New Roman" w:cs="Times New Roman"/>
                      <w:sz w:val="20"/>
                      <w:szCs w:val="20"/>
                      <w:vertAlign w:val="superscript"/>
                    </w:rPr>
                    <w:t>4</w:t>
                  </w:r>
                  <w:r w:rsidRPr="008746AB">
                    <w:rPr>
                      <w:rFonts w:ascii="Times New Roman" w:eastAsia="Times New Roman" w:hAnsi="Times New Roman" w:cs="Times New Roman"/>
                      <w:sz w:val="20"/>
                      <w:szCs w:val="20"/>
                    </w:rPr>
                    <w:t>, Bruce Baziel</w:t>
                  </w:r>
                  <w:r w:rsidRPr="008746AB">
                    <w:rPr>
                      <w:rFonts w:ascii="Times New Roman" w:eastAsia="Times New Roman" w:hAnsi="Times New Roman" w:cs="Times New Roman"/>
                      <w:sz w:val="20"/>
                      <w:szCs w:val="20"/>
                      <w:vertAlign w:val="superscript"/>
                    </w:rPr>
                    <w:t>4</w:t>
                  </w:r>
                  <w:r w:rsidRPr="008746AB">
                    <w:rPr>
                      <w:rFonts w:ascii="Times New Roman" w:eastAsia="Times New Roman" w:hAnsi="Times New Roman" w:cs="Times New Roman"/>
                      <w:sz w:val="20"/>
                      <w:szCs w:val="20"/>
                    </w:rPr>
                    <w:t>, Deborah Thomas</w:t>
                  </w:r>
                  <w:r w:rsidRPr="008746AB">
                    <w:rPr>
                      <w:rFonts w:ascii="Times New Roman" w:eastAsia="Times New Roman" w:hAnsi="Times New Roman" w:cs="Times New Roman"/>
                      <w:sz w:val="20"/>
                      <w:szCs w:val="20"/>
                      <w:vertAlign w:val="superscript"/>
                    </w:rPr>
                    <w:t>3</w:t>
                  </w:r>
                  <w:r w:rsidRPr="008746AB">
                    <w:rPr>
                      <w:rFonts w:ascii="Times New Roman" w:eastAsia="Times New Roman" w:hAnsi="Times New Roman" w:cs="Times New Roman"/>
                      <w:sz w:val="20"/>
                      <w:szCs w:val="20"/>
                    </w:rPr>
                    <w:t>, Ngee S. Chong</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Chemistry, Middle Tennessee State University, Murfreesboro, TN, United States. </w:t>
                  </w:r>
                  <w:r w:rsidRPr="008746AB">
                    <w:rPr>
                      <w:rFonts w:ascii="Times New Roman" w:eastAsia="Times New Roman" w:hAnsi="Times New Roman" w:cs="Times New Roman"/>
                      <w:sz w:val="20"/>
                      <w:szCs w:val="20"/>
                    </w:rPr>
                    <w:br/>
                    <w:t xml:space="preserve">2. Social Science Environmental Health Research Institute, Northeastern University, Boston, MA, United States. </w:t>
                  </w:r>
                  <w:r w:rsidRPr="008746AB">
                    <w:rPr>
                      <w:rFonts w:ascii="Times New Roman" w:eastAsia="Times New Roman" w:hAnsi="Times New Roman" w:cs="Times New Roman"/>
                      <w:sz w:val="20"/>
                      <w:szCs w:val="20"/>
                    </w:rPr>
                    <w:br/>
                    <w:t xml:space="preserve">3. Shale Test, Denton, TX, United States. </w:t>
                  </w:r>
                  <w:r w:rsidRPr="008746AB">
                    <w:rPr>
                      <w:rFonts w:ascii="Times New Roman" w:eastAsia="Times New Roman" w:hAnsi="Times New Roman" w:cs="Times New Roman"/>
                      <w:sz w:val="20"/>
                      <w:szCs w:val="20"/>
                    </w:rPr>
                    <w:br/>
                    <w:t xml:space="preserve">4. Earthworks, Washington, District Of Columbia,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Natural gas is known for its clean-burning characteristic compared to coal or oil. However, natural gas production is often associated with the emission of volatile organic compounds (VOCs) into the atmosphere. For this project, canisters were used to collect grab samples at multiple locations in Karnes County, Texas, where many oil and gas production facilities are in operation. The samples were analyzed for VOCs using gas chromatography-mass spectrometry (GC/MS) with a cryogenic pre-concentrator and the low molecular weight pollutants including carbon monoxide were analyzed using Fourier Transform infrared spectrometry (FTIR) with a 10-meter gas cell. Both selective ion monitoring (SIM) and scan modes of GC/MS analysis were used to improve the detection limits and accuracy of identification for the VOCs, respectively. Selected samples show high levels of C3-C8 hydrocarbons including benzene, toluene, ethylbenzene, and xylenes. Likely sources of these pollutants can be deduced using meteorological and Toxics Release Inventory data.</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resubmitted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91"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2368740</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TITLE: Developing a reliable approach for surface enhanced Raman headspace sampling and kinetic studies within a cuvette.</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Md Nure Alam | Md Sarowar Hossain | Xinmei Dong | Kevin Jackson | Kristen Karlovitz | David Thompson</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mna016@shsu.edu | hsm003@shsu.edu | xxd001@shsu.edu | kcj006@shsu.edu | kmk052@shsu.edu | det002@shsu.edu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Md Nure Alam</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Md Sarowar Hossain</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Xinmei Dong</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Kevin Jackson</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Kristen Karlovitz</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David Thompson</w:t>
                  </w:r>
                  <w:r w:rsidRPr="008746AB">
                    <w:rPr>
                      <w:rFonts w:ascii="Times New Roman" w:eastAsia="Times New Roman" w:hAnsi="Times New Roman" w:cs="Times New Roman"/>
                      <w:sz w:val="20"/>
                      <w:szCs w:val="20"/>
                      <w:vertAlign w:val="superscript"/>
                    </w:rPr>
                    <w:t>2</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Chemistry, Sam Houston State University, Huntsville, TX, United States. </w:t>
                  </w:r>
                  <w:r w:rsidRPr="008746AB">
                    <w:rPr>
                      <w:rFonts w:ascii="Times New Roman" w:eastAsia="Times New Roman" w:hAnsi="Times New Roman" w:cs="Times New Roman"/>
                      <w:sz w:val="20"/>
                      <w:szCs w:val="20"/>
                    </w:rPr>
                    <w:br/>
                    <w:t xml:space="preserve">2. Chemistry, Sam Houston State University, Huntsville, TX,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Surface enhanced Raman spectroscopy (SERS) is a sensitive, cost-effective method that has long-term potential for multiplexed, portable headspace sensing. In developing headspace sensing methods, it is useful to measure the temperature dependent analyte binding kinetics to the sensor. Temperature controllers for cuvettes are common. To use a SERS sensor for headspace binding studies in a cuvette the following challenges must be met: a reliable method for positioning the sensor relative to the Raman excitation beam and signal collection optics; a method for pre-exposing the sensor to the solvent; a method for rapid introduction of the sample; a method for maintaining a good vapor seal. A novel sensor holder has been designed to overcome these challenges. We present the detailed design of the holder and preliminary SERS experiments that employ the holder for headspace sampling and kinetic studies within a cuvette mounted in a temperature controller.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92"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2368893</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w:t>
                  </w:r>
                  <w:r w:rsidRPr="008746AB">
                    <w:rPr>
                      <w:rFonts w:ascii="Times New Roman" w:eastAsia="Times New Roman" w:hAnsi="Times New Roman" w:cs="Times New Roman"/>
                      <w:sz w:val="20"/>
                      <w:szCs w:val="20"/>
                    </w:rPr>
                    <w:t>Immobilized redox active substrates on indium tin oxide surface modeled as immunosorbent assay device</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Rajat Chauhan</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r0raja02@louisville.edu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Rajat Chauhan</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Jafar Ghitan</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Emitas Chaudhary</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Sergio Mendes</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Martin O'Toole</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University of Louisville, Louisville, KY, United States.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 xml:space="preserve">The modification of Indium-Tin-Oxide (ITO) electrode surfaces with monolayers designed to capture potential analytes was investigated as a diagnostic tool for detection of surface bound redox active proteins. Firstly, the ITO surface was modified with (3-Aminopropyl) triethoxysilane (APTES) followed by the passive adsorption of recombinant protein G (ProG), a bacterial protein known to strongly bind the Fc regions of antibodies. This was done in hopes of orienting the antibodies with their antigen binding regions away form the ITO surface to enhance specificity and binding potential of the surface towards analytes. The ITO/APTES/ProG surface is exposed to anti-cytochrome C (cytC) antibody, followed by exposure to cytC analyte. This lead to enhanced detection of cytC via squarewave, cyclic voltammetry and atomic force microscopic techniques, Figure 1A, 1B and 1D. Alternatively, the ITO/APTES surface was modified with electrochemiluminscent probe </w:t>
                  </w:r>
                  <w:r w:rsidRPr="008746AB">
                    <w:rPr>
                      <w:rFonts w:ascii="Times New Roman" w:eastAsia="Times New Roman" w:hAnsi="Times New Roman" w:cs="Times New Roman"/>
                      <w:i/>
                      <w:iCs/>
                      <w:sz w:val="20"/>
                      <w:szCs w:val="20"/>
                    </w:rPr>
                    <w:t>cis</w:t>
                  </w:r>
                  <w:r w:rsidRPr="008746AB">
                    <w:rPr>
                      <w:rFonts w:ascii="Times New Roman" w:eastAsia="Times New Roman" w:hAnsi="Times New Roman" w:cs="Times New Roman"/>
                      <w:sz w:val="20"/>
                      <w:szCs w:val="20"/>
                    </w:rPr>
                    <w:t>-dichlorobis (2</w:t>
                  </w:r>
                  <w:proofErr w:type="gramStart"/>
                  <w:r w:rsidRPr="008746AB">
                    <w:rPr>
                      <w:rFonts w:ascii="Times New Roman" w:eastAsia="Times New Roman" w:hAnsi="Times New Roman" w:cs="Times New Roman"/>
                      <w:sz w:val="20"/>
                      <w:szCs w:val="20"/>
                    </w:rPr>
                    <w:t>,2</w:t>
                  </w:r>
                  <w:proofErr w:type="gramEnd"/>
                  <w:r w:rsidRPr="008746AB">
                    <w:rPr>
                      <w:rFonts w:ascii="Times New Roman" w:eastAsia="Times New Roman" w:hAnsi="Times New Roman" w:cs="Times New Roman"/>
                      <w:sz w:val="20"/>
                      <w:szCs w:val="20"/>
                    </w:rPr>
                    <w:t>′-bipyridine)ruthenium(II), with redox potentials at -250 mV, 250 mV and -800 mV, Figure 1C. The similar exposure to anti-cyt C antibody leads to its tethering at bipyridine ligand centers of ruthenium complex followed by detection of cyt C at the electrode surface. These two strategies will be used towards engineering the electro active-integrated optical waveguide platform for ultrasensitive detection of surface bounded proteins.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93"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2369279</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TITLE: Solid phase extraction Cd(II) from environmental samples using a novel ion imprinted polymer and determinatio by ICP-MS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Zikri Arslan</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zikri.arslan@jsums.edu</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Zikri Arslan</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Vedat Yilmaz</w:t>
                  </w:r>
                  <w:r w:rsidRPr="008746AB">
                    <w:rPr>
                      <w:rFonts w:ascii="Times New Roman" w:eastAsia="Times New Roman" w:hAnsi="Times New Roman" w:cs="Times New Roman"/>
                      <w:sz w:val="20"/>
                      <w:szCs w:val="20"/>
                      <w:vertAlign w:val="superscript"/>
                    </w:rPr>
                    <w:t>1, 3</w:t>
                  </w:r>
                  <w:r w:rsidRPr="008746AB">
                    <w:rPr>
                      <w:rFonts w:ascii="Times New Roman" w:eastAsia="Times New Roman" w:hAnsi="Times New Roman" w:cs="Times New Roman"/>
                      <w:sz w:val="20"/>
                      <w:szCs w:val="20"/>
                    </w:rPr>
                    <w:t>, Hayriye Yilmaz</w:t>
                  </w:r>
                  <w:r w:rsidRPr="008746AB">
                    <w:rPr>
                      <w:rFonts w:ascii="Times New Roman" w:eastAsia="Times New Roman" w:hAnsi="Times New Roman" w:cs="Times New Roman"/>
                      <w:sz w:val="20"/>
                      <w:szCs w:val="20"/>
                      <w:vertAlign w:val="superscript"/>
                    </w:rPr>
                    <w:t>1, 4</w:t>
                  </w:r>
                  <w:r w:rsidRPr="008746AB">
                    <w:rPr>
                      <w:rFonts w:ascii="Times New Roman" w:eastAsia="Times New Roman" w:hAnsi="Times New Roman" w:cs="Times New Roman"/>
                      <w:sz w:val="20"/>
                      <w:szCs w:val="20"/>
                    </w:rPr>
                    <w:t>, Jerzy R. Leszczynski</w:t>
                  </w:r>
                  <w:r w:rsidRPr="008746AB">
                    <w:rPr>
                      <w:rFonts w:ascii="Times New Roman" w:eastAsia="Times New Roman" w:hAnsi="Times New Roman" w:cs="Times New Roman"/>
                      <w:sz w:val="20"/>
                      <w:szCs w:val="20"/>
                      <w:vertAlign w:val="superscript"/>
                    </w:rPr>
                    <w:t>2</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Jackson State University, Jackson, MS, United States. </w:t>
                  </w:r>
                  <w:r w:rsidRPr="008746AB">
                    <w:rPr>
                      <w:rFonts w:ascii="Times New Roman" w:eastAsia="Times New Roman" w:hAnsi="Times New Roman" w:cs="Times New Roman"/>
                      <w:sz w:val="20"/>
                      <w:szCs w:val="20"/>
                    </w:rPr>
                    <w:br/>
                    <w:t xml:space="preserve">2. Dept of Chem PO Box 17910, Jackson State University, Jackson, MS, United States. </w:t>
                  </w:r>
                  <w:r w:rsidRPr="008746AB">
                    <w:rPr>
                      <w:rFonts w:ascii="Times New Roman" w:eastAsia="Times New Roman" w:hAnsi="Times New Roman" w:cs="Times New Roman"/>
                      <w:sz w:val="20"/>
                      <w:szCs w:val="20"/>
                    </w:rPr>
                    <w:br/>
                    <w:t xml:space="preserve">3. Department of Analytical Chemistry, Erciyes University, Kayseri, Turkey. </w:t>
                  </w:r>
                  <w:r w:rsidRPr="008746AB">
                    <w:rPr>
                      <w:rFonts w:ascii="Times New Roman" w:eastAsia="Times New Roman" w:hAnsi="Times New Roman" w:cs="Times New Roman"/>
                      <w:sz w:val="20"/>
                      <w:szCs w:val="20"/>
                    </w:rPr>
                    <w:br/>
                    <w:t xml:space="preserve">4. Department of Biomedical Devices and Technologies, Erciyes University, Kayseri, Turkey.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 xml:space="preserve">A new </w:t>
                  </w:r>
                  <w:proofErr w:type="gramStart"/>
                  <w:r w:rsidRPr="008746AB">
                    <w:rPr>
                      <w:rFonts w:ascii="Times New Roman" w:eastAsia="Times New Roman" w:hAnsi="Times New Roman" w:cs="Times New Roman"/>
                      <w:sz w:val="20"/>
                      <w:szCs w:val="20"/>
                    </w:rPr>
                    <w:t>Cd(</w:t>
                  </w:r>
                  <w:proofErr w:type="gramEnd"/>
                  <w:r w:rsidRPr="008746AB">
                    <w:rPr>
                      <w:rFonts w:ascii="Times New Roman" w:eastAsia="Times New Roman" w:hAnsi="Times New Roman" w:cs="Times New Roman"/>
                      <w:sz w:val="20"/>
                      <w:szCs w:val="20"/>
                    </w:rPr>
                    <w:t xml:space="preserve">II)-imprinted sorbent was syntesized using </w:t>
                  </w:r>
                  <w:r w:rsidRPr="008746AB">
                    <w:rPr>
                      <w:rFonts w:ascii="Times New Roman" w:eastAsia="Times New Roman" w:hAnsi="Times New Roman" w:cs="Times New Roman"/>
                      <w:i/>
                      <w:iCs/>
                      <w:sz w:val="20"/>
                      <w:szCs w:val="20"/>
                    </w:rPr>
                    <w:t>N</w:t>
                  </w:r>
                  <w:r w:rsidRPr="008746AB">
                    <w:rPr>
                      <w:rFonts w:ascii="Times New Roman" w:eastAsia="Times New Roman" w:hAnsi="Times New Roman" w:cs="Times New Roman"/>
                      <w:sz w:val="20"/>
                      <w:szCs w:val="20"/>
                    </w:rPr>
                    <w:t xml:space="preserve">-methacryloyl-L-histidine (MAH). First, </w:t>
                  </w:r>
                  <w:proofErr w:type="gramStart"/>
                  <w:r w:rsidRPr="008746AB">
                    <w:rPr>
                      <w:rFonts w:ascii="Times New Roman" w:eastAsia="Times New Roman" w:hAnsi="Times New Roman" w:cs="Times New Roman"/>
                      <w:sz w:val="20"/>
                      <w:szCs w:val="20"/>
                    </w:rPr>
                    <w:t>Cd(</w:t>
                  </w:r>
                  <w:proofErr w:type="gramEnd"/>
                  <w:r w:rsidRPr="008746AB">
                    <w:rPr>
                      <w:rFonts w:ascii="Times New Roman" w:eastAsia="Times New Roman" w:hAnsi="Times New Roman" w:cs="Times New Roman"/>
                      <w:sz w:val="20"/>
                      <w:szCs w:val="20"/>
                    </w:rPr>
                    <w:t xml:space="preserve">II)-MAH complex was synthesized, which was then copolymerized in the presence of ethyleneglycol dimethacrylate cross-linker via bulk polymerization. The resulting </w:t>
                  </w:r>
                  <w:proofErr w:type="gramStart"/>
                  <w:r w:rsidRPr="008746AB">
                    <w:rPr>
                      <w:rFonts w:ascii="Times New Roman" w:eastAsia="Times New Roman" w:hAnsi="Times New Roman" w:cs="Times New Roman"/>
                      <w:sz w:val="20"/>
                      <w:szCs w:val="20"/>
                    </w:rPr>
                    <w:t>Cd(</w:t>
                  </w:r>
                  <w:proofErr w:type="gramEnd"/>
                  <w:r w:rsidRPr="008746AB">
                    <w:rPr>
                      <w:rFonts w:ascii="Times New Roman" w:eastAsia="Times New Roman" w:hAnsi="Times New Roman" w:cs="Times New Roman"/>
                      <w:sz w:val="20"/>
                      <w:szCs w:val="20"/>
                    </w:rPr>
                    <w:t xml:space="preserve">II)-imprinted polymer (IIP) was characterized by FT-IR. The ion imprinted polymer (IIP) extracted </w:t>
                  </w:r>
                  <w:proofErr w:type="gramStart"/>
                  <w:r w:rsidRPr="008746AB">
                    <w:rPr>
                      <w:rFonts w:ascii="Times New Roman" w:eastAsia="Times New Roman" w:hAnsi="Times New Roman" w:cs="Times New Roman"/>
                      <w:sz w:val="20"/>
                      <w:szCs w:val="20"/>
                    </w:rPr>
                    <w:t>Cd(</w:t>
                  </w:r>
                  <w:proofErr w:type="gramEnd"/>
                  <w:r w:rsidRPr="008746AB">
                    <w:rPr>
                      <w:rFonts w:ascii="Times New Roman" w:eastAsia="Times New Roman" w:hAnsi="Times New Roman" w:cs="Times New Roman"/>
                      <w:sz w:val="20"/>
                      <w:szCs w:val="20"/>
                    </w:rPr>
                    <w:t xml:space="preserve">II) in aqueous solutions quantitatively between pH 6.0 and 7.0. The experimental conditions for effective sorption of </w:t>
                  </w:r>
                  <w:proofErr w:type="gramStart"/>
                  <w:r w:rsidRPr="008746AB">
                    <w:rPr>
                      <w:rFonts w:ascii="Times New Roman" w:eastAsia="Times New Roman" w:hAnsi="Times New Roman" w:cs="Times New Roman"/>
                      <w:sz w:val="20"/>
                      <w:szCs w:val="20"/>
                    </w:rPr>
                    <w:t>Cd(</w:t>
                  </w:r>
                  <w:proofErr w:type="gramEnd"/>
                  <w:r w:rsidRPr="008746AB">
                    <w:rPr>
                      <w:rFonts w:ascii="Times New Roman" w:eastAsia="Times New Roman" w:hAnsi="Times New Roman" w:cs="Times New Roman"/>
                      <w:sz w:val="20"/>
                      <w:szCs w:val="20"/>
                    </w:rPr>
                    <w:t>II) were optimized using a minicolumn of IIP. A volume of 5 mL sample solution was loaded onto the column at 2.0 mL min</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xml:space="preserve"> followed by elution with 1.0 mL </w:t>
                  </w:r>
                  <w:proofErr w:type="gramStart"/>
                  <w:r w:rsidRPr="008746AB">
                    <w:rPr>
                      <w:rFonts w:ascii="Times New Roman" w:eastAsia="Times New Roman" w:hAnsi="Times New Roman" w:cs="Times New Roman"/>
                      <w:sz w:val="20"/>
                      <w:szCs w:val="20"/>
                    </w:rPr>
                    <w:t>of 0.5 mol L</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xml:space="preserve"> HNO</w:t>
                  </w:r>
                  <w:r w:rsidRPr="008746AB">
                    <w:rPr>
                      <w:rFonts w:ascii="Times New Roman" w:eastAsia="Times New Roman" w:hAnsi="Times New Roman" w:cs="Times New Roman"/>
                      <w:sz w:val="20"/>
                      <w:szCs w:val="20"/>
                      <w:vertAlign w:val="subscript"/>
                    </w:rPr>
                    <w:t>3</w:t>
                  </w:r>
                  <w:proofErr w:type="gramEnd"/>
                  <w:r w:rsidRPr="008746AB">
                    <w:rPr>
                      <w:rFonts w:ascii="Times New Roman" w:eastAsia="Times New Roman" w:hAnsi="Times New Roman" w:cs="Times New Roman"/>
                      <w:sz w:val="20"/>
                      <w:szCs w:val="20"/>
                    </w:rPr>
                    <w:t xml:space="preserve">. The IIP also exhibited excellent selectivity for </w:t>
                  </w:r>
                  <w:proofErr w:type="gramStart"/>
                  <w:r w:rsidRPr="008746AB">
                    <w:rPr>
                      <w:rFonts w:ascii="Times New Roman" w:eastAsia="Times New Roman" w:hAnsi="Times New Roman" w:cs="Times New Roman"/>
                      <w:sz w:val="20"/>
                      <w:szCs w:val="20"/>
                    </w:rPr>
                    <w:t>Cd(</w:t>
                  </w:r>
                  <w:proofErr w:type="gramEnd"/>
                  <w:r w:rsidRPr="008746AB">
                    <w:rPr>
                      <w:rFonts w:ascii="Times New Roman" w:eastAsia="Times New Roman" w:hAnsi="Times New Roman" w:cs="Times New Roman"/>
                      <w:sz w:val="20"/>
                      <w:szCs w:val="20"/>
                    </w:rPr>
                    <w:t>II) against competing metal ions, including Cu, Co, Ni, Pb and Zn. Computational calculations indicated that the selectivity of IIP was from the stability of Cd(II)-MAH complex. A limit of detection (LOD, 3s) 0.004 µg L</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xml:space="preserve"> was achieved. The method was successfully applied to determination of </w:t>
                  </w:r>
                  <w:proofErr w:type="gramStart"/>
                  <w:r w:rsidRPr="008746AB">
                    <w:rPr>
                      <w:rFonts w:ascii="Times New Roman" w:eastAsia="Times New Roman" w:hAnsi="Times New Roman" w:cs="Times New Roman"/>
                      <w:sz w:val="20"/>
                      <w:szCs w:val="20"/>
                    </w:rPr>
                    <w:t>Cd(</w:t>
                  </w:r>
                  <w:proofErr w:type="gramEnd"/>
                  <w:r w:rsidRPr="008746AB">
                    <w:rPr>
                      <w:rFonts w:ascii="Times New Roman" w:eastAsia="Times New Roman" w:hAnsi="Times New Roman" w:cs="Times New Roman"/>
                      <w:sz w:val="20"/>
                      <w:szCs w:val="20"/>
                    </w:rPr>
                    <w:t>II) in seawater (CASS-4) and estuarine water (SLEW-3) samples.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resubmitted Withdraw</w:t>
                  </w:r>
                </w:p>
              </w:tc>
            </w:tr>
          </w:tbl>
          <w:p w:rsidR="008746AB" w:rsidRPr="008746AB" w:rsidRDefault="008746AB" w:rsidP="008746AB">
            <w:pPr>
              <w:spacing w:after="240" w:line="240" w:lineRule="auto"/>
              <w:rPr>
                <w:rFonts w:ascii="Times New Roman" w:eastAsia="Times New Roman" w:hAnsi="Times New Roman" w:cs="Times New Roman"/>
                <w:sz w:val="24"/>
                <w:szCs w:val="24"/>
              </w:rPr>
            </w:pPr>
          </w:p>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sz w:val="24"/>
                <w:szCs w:val="24"/>
              </w:rPr>
              <w:pict>
                <v:rect id="_x0000_i1494" style="width:0;height:1.5pt" o:hralign="center" o:hrstd="t" o:hr="t" fillcolor="#a0a0a0" stroked="f"/>
              </w:pict>
            </w:r>
          </w:p>
        </w:tc>
      </w:tr>
      <w:tr w:rsidR="008746AB" w:rsidRPr="008746AB" w:rsidTr="00A81E9F">
        <w:trPr>
          <w:tblCellSpacing w:w="15" w:type="dxa"/>
        </w:trPr>
        <w:tc>
          <w:tcPr>
            <w:tcW w:w="0" w:type="auto"/>
            <w:vAlign w:val="center"/>
            <w:hideMark/>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360"/>
            </w:tblGrid>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PROGRAM AREA NAME: </w:t>
                  </w:r>
                  <w:r w:rsidRPr="008746AB">
                    <w:rPr>
                      <w:rFonts w:ascii="Times New Roman" w:eastAsia="Times New Roman" w:hAnsi="Times New Roman" w:cs="Times New Roman"/>
                      <w:sz w:val="20"/>
                      <w:szCs w:val="20"/>
                    </w:rPr>
                    <w:t>2015 Joint Southeastern/Southwest Regional Meeting</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SYMPOSIUM NAME: </w:t>
                  </w:r>
                  <w:r w:rsidRPr="008746AB">
                    <w:rPr>
                      <w:rFonts w:ascii="Times New Roman" w:eastAsia="Times New Roman" w:hAnsi="Times New Roman" w:cs="Times New Roman"/>
                      <w:sz w:val="20"/>
                      <w:szCs w:val="20"/>
                    </w:rPr>
                    <w:t>General Analytical Chemistry - Poster</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CONTROL ID: </w:t>
                  </w:r>
                  <w:r w:rsidRPr="008746AB">
                    <w:rPr>
                      <w:rFonts w:ascii="Times New Roman" w:eastAsia="Times New Roman" w:hAnsi="Times New Roman" w:cs="Times New Roman"/>
                      <w:sz w:val="20"/>
                      <w:szCs w:val="20"/>
                    </w:rPr>
                    <w:t>2369301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TITLE: Chemical vapor generation for determination of transition metals: preliminary studies on manganese and cobalt </w:t>
                  </w:r>
                  <w:r w:rsidRPr="008746AB">
                    <w:rPr>
                      <w:rFonts w:ascii="Times New Roman" w:eastAsia="Times New Roman" w:hAnsi="Times New Roman" w:cs="Times New Roman"/>
                      <w:sz w:val="20"/>
                      <w:szCs w:val="20"/>
                    </w:rPr>
                    <w:br/>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w:t>
                  </w:r>
                  <w:r w:rsidRPr="008746AB">
                    <w:rPr>
                      <w:rFonts w:ascii="Times New Roman" w:eastAsia="Times New Roman" w:hAnsi="Times New Roman" w:cs="Times New Roman"/>
                      <w:sz w:val="20"/>
                      <w:szCs w:val="20"/>
                    </w:rPr>
                    <w:t>Ahmet Celik</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PRESENTER (E-MAIL ONLY): </w:t>
                  </w:r>
                  <w:r w:rsidRPr="008746AB">
                    <w:rPr>
                      <w:rFonts w:ascii="Times New Roman" w:eastAsia="Times New Roman" w:hAnsi="Times New Roman" w:cs="Times New Roman"/>
                      <w:sz w:val="20"/>
                      <w:szCs w:val="20"/>
                    </w:rPr>
                    <w:t>ciga_27_@hotmail.com</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AUTHORS (FIRST NAME, LAST NAME): </w:t>
                  </w:r>
                  <w:r w:rsidRPr="008746AB">
                    <w:rPr>
                      <w:rFonts w:ascii="Times New Roman" w:eastAsia="Times New Roman" w:hAnsi="Times New Roman" w:cs="Times New Roman"/>
                      <w:sz w:val="20"/>
                      <w:szCs w:val="20"/>
                    </w:rPr>
                    <w:t>Ahmet Celik</w:t>
                  </w:r>
                  <w:r w:rsidRPr="008746AB">
                    <w:rPr>
                      <w:rFonts w:ascii="Times New Roman" w:eastAsia="Times New Roman" w:hAnsi="Times New Roman" w:cs="Times New Roman"/>
                      <w:sz w:val="20"/>
                      <w:szCs w:val="20"/>
                      <w:vertAlign w:val="superscript"/>
                    </w:rPr>
                    <w:t>1</w:t>
                  </w:r>
                  <w:r w:rsidRPr="008746AB">
                    <w:rPr>
                      <w:rFonts w:ascii="Times New Roman" w:eastAsia="Times New Roman" w:hAnsi="Times New Roman" w:cs="Times New Roman"/>
                      <w:sz w:val="20"/>
                      <w:szCs w:val="20"/>
                    </w:rPr>
                    <w:t>, Vedat Yilmaz</w:t>
                  </w:r>
                  <w:r w:rsidRPr="008746AB">
                    <w:rPr>
                      <w:rFonts w:ascii="Times New Roman" w:eastAsia="Times New Roman" w:hAnsi="Times New Roman" w:cs="Times New Roman"/>
                      <w:sz w:val="20"/>
                      <w:szCs w:val="20"/>
                      <w:vertAlign w:val="superscript"/>
                    </w:rPr>
                    <w:t>1, 2</w:t>
                  </w:r>
                  <w:r w:rsidRPr="008746AB">
                    <w:rPr>
                      <w:rFonts w:ascii="Times New Roman" w:eastAsia="Times New Roman" w:hAnsi="Times New Roman" w:cs="Times New Roman"/>
                      <w:sz w:val="20"/>
                      <w:szCs w:val="20"/>
                    </w:rPr>
                    <w:t>, Zikri Arslan</w:t>
                  </w:r>
                  <w:r w:rsidRPr="008746AB">
                    <w:rPr>
                      <w:rFonts w:ascii="Times New Roman" w:eastAsia="Times New Roman" w:hAnsi="Times New Roman" w:cs="Times New Roman"/>
                      <w:sz w:val="20"/>
                      <w:szCs w:val="20"/>
                      <w:vertAlign w:val="superscript"/>
                    </w:rPr>
                    <w:t>1</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INSTITUTIONS (ALL): </w:t>
                  </w:r>
                  <w:r w:rsidRPr="008746AB">
                    <w:rPr>
                      <w:rFonts w:ascii="Times New Roman" w:eastAsia="Times New Roman" w:hAnsi="Times New Roman" w:cs="Times New Roman"/>
                      <w:sz w:val="20"/>
                      <w:szCs w:val="20"/>
                    </w:rPr>
                    <w:t xml:space="preserve">1. Jackson State University, Jackson, MS, United States. </w:t>
                  </w:r>
                  <w:r w:rsidRPr="008746AB">
                    <w:rPr>
                      <w:rFonts w:ascii="Times New Roman" w:eastAsia="Times New Roman" w:hAnsi="Times New Roman" w:cs="Times New Roman"/>
                      <w:sz w:val="20"/>
                      <w:szCs w:val="20"/>
                    </w:rPr>
                    <w:br/>
                    <w:t xml:space="preserve">2. Department of Analytical Chemistry, Erciyes University, Kayseri, Turkey.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PRESENTATION TYPE: </w:t>
                  </w:r>
                  <w:r w:rsidRPr="008746AB">
                    <w:rPr>
                      <w:rFonts w:ascii="Times New Roman" w:eastAsia="Times New Roman" w:hAnsi="Times New Roman" w:cs="Times New Roman"/>
                      <w:sz w:val="20"/>
                      <w:szCs w:val="20"/>
                    </w:rPr>
                    <w:t>Poster Only</w:t>
                  </w:r>
                </w:p>
              </w:tc>
            </w:tr>
            <w:tr w:rsidR="008746AB" w:rsidRPr="008746AB" w:rsidTr="00A81E9F">
              <w:trPr>
                <w:tblCellSpacing w:w="15" w:type="dxa"/>
              </w:trPr>
              <w:tc>
                <w:tcPr>
                  <w:tcW w:w="0" w:type="auto"/>
                  <w:vAlign w:val="center"/>
                  <w:hideMark/>
                </w:tcPr>
                <w:p w:rsidR="008746AB" w:rsidRPr="008746AB" w:rsidRDefault="008746AB" w:rsidP="008746AB">
                  <w:pPr>
                    <w:spacing w:after="24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BODY: </w:t>
                  </w:r>
                  <w:r w:rsidRPr="008746AB">
                    <w:rPr>
                      <w:rFonts w:ascii="Times New Roman" w:eastAsia="Times New Roman" w:hAnsi="Times New Roman" w:cs="Times New Roman"/>
                      <w:b/>
                      <w:bCs/>
                      <w:sz w:val="20"/>
                      <w:szCs w:val="20"/>
                    </w:rPr>
                    <w:br/>
                    <w:t xml:space="preserve">Abstract: </w:t>
                  </w:r>
                  <w:r w:rsidRPr="008746AB">
                    <w:rPr>
                      <w:rFonts w:ascii="Times New Roman" w:eastAsia="Times New Roman" w:hAnsi="Times New Roman" w:cs="Times New Roman"/>
                      <w:sz w:val="20"/>
                      <w:szCs w:val="20"/>
                    </w:rPr>
                    <w:t>Chemical vapor generation (CVG) is a classical but powerful approach for determination of hydride forming elements. Attempts on transition metals have shown mostly poor results. Here, we present evidence for formation of volatile species of manganese (Mn) and cobalt (Co). A number of chelating agents, including 1</w:t>
                  </w:r>
                  <w:proofErr w:type="gramStart"/>
                  <w:r w:rsidRPr="008746AB">
                    <w:rPr>
                      <w:rFonts w:ascii="Times New Roman" w:eastAsia="Times New Roman" w:hAnsi="Times New Roman" w:cs="Times New Roman"/>
                      <w:sz w:val="20"/>
                      <w:szCs w:val="20"/>
                    </w:rPr>
                    <w:t>,10</w:t>
                  </w:r>
                  <w:proofErr w:type="gramEnd"/>
                  <w:r w:rsidRPr="008746AB">
                    <w:rPr>
                      <w:rFonts w:ascii="Times New Roman" w:eastAsia="Times New Roman" w:hAnsi="Times New Roman" w:cs="Times New Roman"/>
                      <w:sz w:val="20"/>
                      <w:szCs w:val="20"/>
                    </w:rPr>
                    <w:t>-phenanthroline, 8-hydroxyquinoline, diethyldithiocarbamate (DDC) and dibenzyldithiocarbamate (DBC) were examined to boost signals. The effects of mineral acids, including HCl, HNO</w:t>
                  </w:r>
                  <w:r w:rsidRPr="008746AB">
                    <w:rPr>
                      <w:rFonts w:ascii="Times New Roman" w:eastAsia="Times New Roman" w:hAnsi="Times New Roman" w:cs="Times New Roman"/>
                      <w:sz w:val="20"/>
                      <w:szCs w:val="20"/>
                      <w:vertAlign w:val="subscript"/>
                    </w:rPr>
                    <w:t>3</w:t>
                  </w:r>
                  <w:r w:rsidRPr="008746AB">
                    <w:rPr>
                      <w:rFonts w:ascii="Times New Roman" w:eastAsia="Times New Roman" w:hAnsi="Times New Roman" w:cs="Times New Roman"/>
                      <w:sz w:val="20"/>
                      <w:szCs w:val="20"/>
                    </w:rPr>
                    <w:t>, H</w:t>
                  </w:r>
                  <w:r w:rsidRPr="008746AB">
                    <w:rPr>
                      <w:rFonts w:ascii="Times New Roman" w:eastAsia="Times New Roman" w:hAnsi="Times New Roman" w:cs="Times New Roman"/>
                      <w:sz w:val="20"/>
                      <w:szCs w:val="20"/>
                      <w:vertAlign w:val="subscript"/>
                    </w:rPr>
                    <w:t>2</w:t>
                  </w:r>
                  <w:r w:rsidRPr="008746AB">
                    <w:rPr>
                      <w:rFonts w:ascii="Times New Roman" w:eastAsia="Times New Roman" w:hAnsi="Times New Roman" w:cs="Times New Roman"/>
                      <w:sz w:val="20"/>
                      <w:szCs w:val="20"/>
                    </w:rPr>
                    <w:t>SO</w:t>
                  </w:r>
                  <w:r w:rsidRPr="008746AB">
                    <w:rPr>
                      <w:rFonts w:ascii="Times New Roman" w:eastAsia="Times New Roman" w:hAnsi="Times New Roman" w:cs="Times New Roman"/>
                      <w:sz w:val="20"/>
                      <w:szCs w:val="20"/>
                      <w:vertAlign w:val="subscript"/>
                    </w:rPr>
                    <w:t>4</w:t>
                  </w:r>
                  <w:r w:rsidRPr="008746AB">
                    <w:rPr>
                      <w:rFonts w:ascii="Times New Roman" w:eastAsia="Times New Roman" w:hAnsi="Times New Roman" w:cs="Times New Roman"/>
                      <w:sz w:val="20"/>
                      <w:szCs w:val="20"/>
                    </w:rPr>
                    <w:t xml:space="preserve"> and acetic acid were examined. HCl and HNO</w:t>
                  </w:r>
                  <w:r w:rsidRPr="008746AB">
                    <w:rPr>
                      <w:rFonts w:ascii="Times New Roman" w:eastAsia="Times New Roman" w:hAnsi="Times New Roman" w:cs="Times New Roman"/>
                      <w:sz w:val="20"/>
                      <w:szCs w:val="20"/>
                      <w:vertAlign w:val="subscript"/>
                    </w:rPr>
                    <w:t>3</w:t>
                  </w:r>
                  <w:r w:rsidRPr="008746AB">
                    <w:rPr>
                      <w:rFonts w:ascii="Times New Roman" w:eastAsia="Times New Roman" w:hAnsi="Times New Roman" w:cs="Times New Roman"/>
                      <w:sz w:val="20"/>
                      <w:szCs w:val="20"/>
                    </w:rPr>
                    <w:t xml:space="preserve"> appeared effective for generating volatile species of Mn and Co. HCl was suitable for both Mn and Co vapor generation. A concentration of 3 to 4% (v/v) was used. DDC and DBC showed enhancement in signals. DBC was the most effective reagent. A cooled spray chamber afforded smooth generation and transport of vo</w:t>
                  </w:r>
                  <w:bookmarkStart w:id="0" w:name="_GoBack"/>
                  <w:bookmarkEnd w:id="0"/>
                  <w:r w:rsidRPr="008746AB">
                    <w:rPr>
                      <w:rFonts w:ascii="Times New Roman" w:eastAsia="Times New Roman" w:hAnsi="Times New Roman" w:cs="Times New Roman"/>
                      <w:sz w:val="20"/>
                      <w:szCs w:val="20"/>
                    </w:rPr>
                    <w:t>latile species to ICP-MS. The analytical potential of the method was verified by determination of Mn and Co by vapor generation ICP-MS in seawater reference samples.</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DECISION STATUS: </w:t>
                  </w:r>
                </w:p>
              </w:tc>
            </w:tr>
            <w:tr w:rsidR="008746AB" w:rsidRPr="008746AB" w:rsidTr="00A81E9F">
              <w:trPr>
                <w:tblCellSpacing w:w="15" w:type="dxa"/>
              </w:trPr>
              <w:tc>
                <w:tcPr>
                  <w:tcW w:w="0" w:type="auto"/>
                  <w:vAlign w:val="center"/>
                  <w:hideMark/>
                </w:tcPr>
                <w:p w:rsidR="008746AB" w:rsidRPr="008746AB" w:rsidRDefault="008746AB" w:rsidP="008746AB">
                  <w:pPr>
                    <w:spacing w:after="0" w:line="240" w:lineRule="auto"/>
                    <w:rPr>
                      <w:rFonts w:ascii="Times New Roman" w:eastAsia="Times New Roman" w:hAnsi="Times New Roman" w:cs="Times New Roman"/>
                      <w:sz w:val="24"/>
                      <w:szCs w:val="24"/>
                    </w:rPr>
                  </w:pPr>
                  <w:r w:rsidRPr="008746AB">
                    <w:rPr>
                      <w:rFonts w:ascii="Times New Roman" w:eastAsia="Times New Roman" w:hAnsi="Times New Roman" w:cs="Times New Roman"/>
                      <w:b/>
                      <w:bCs/>
                      <w:sz w:val="20"/>
                      <w:szCs w:val="20"/>
                    </w:rPr>
                    <w:t xml:space="preserve">ABSTRACT STATUS: </w:t>
                  </w:r>
                  <w:r w:rsidRPr="008746AB">
                    <w:rPr>
                      <w:rFonts w:ascii="Times New Roman" w:eastAsia="Times New Roman" w:hAnsi="Times New Roman" w:cs="Times New Roman"/>
                      <w:sz w:val="20"/>
                      <w:szCs w:val="20"/>
                    </w:rPr>
                    <w:t>submitted Withdraw</w:t>
                  </w:r>
                </w:p>
              </w:tc>
            </w:tr>
          </w:tbl>
          <w:p w:rsidR="008746AB" w:rsidRPr="008746AB" w:rsidRDefault="008746AB" w:rsidP="008746AB">
            <w:pPr>
              <w:spacing w:after="0" w:line="240" w:lineRule="auto"/>
              <w:rPr>
                <w:rFonts w:ascii="Times New Roman" w:eastAsia="Times New Roman" w:hAnsi="Times New Roman" w:cs="Times New Roman"/>
                <w:sz w:val="24"/>
                <w:szCs w:val="24"/>
              </w:rPr>
            </w:pPr>
          </w:p>
        </w:tc>
      </w:tr>
    </w:tbl>
    <w:p w:rsidR="0053706A" w:rsidRPr="00784F32" w:rsidRDefault="0053706A" w:rsidP="00784F32"/>
    <w:sectPr w:rsidR="0053706A" w:rsidRPr="00784F32">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87FBA" w:rsidRDefault="00D87FBA" w:rsidP="00D87FBA">
      <w:pPr>
        <w:spacing w:after="0" w:line="240" w:lineRule="auto"/>
      </w:pPr>
      <w:r>
        <w:separator/>
      </w:r>
    </w:p>
  </w:endnote>
  <w:endnote w:type="continuationSeparator" w:id="0">
    <w:p w:rsidR="00D87FBA" w:rsidRDefault="00D87FBA" w:rsidP="00D87FB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87FBA" w:rsidRDefault="00D87FBA" w:rsidP="00D87FBA">
      <w:pPr>
        <w:spacing w:after="0" w:line="240" w:lineRule="auto"/>
      </w:pPr>
      <w:r>
        <w:separator/>
      </w:r>
    </w:p>
  </w:footnote>
  <w:footnote w:type="continuationSeparator" w:id="0">
    <w:p w:rsidR="00D87FBA" w:rsidRDefault="00D87FBA" w:rsidP="00D87FB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87FBA" w:rsidRPr="00D87FBA" w:rsidRDefault="004417DB" w:rsidP="00D87FBA">
    <w:pPr>
      <w:pStyle w:val="Header"/>
      <w:rPr>
        <w:rFonts w:ascii="Times New Roman" w:hAnsi="Times New Roman" w:cs="Times New Roman"/>
        <w:sz w:val="20"/>
      </w:rPr>
    </w:pPr>
    <w:r w:rsidRPr="001F139D">
      <w:rPr>
        <w:rFonts w:ascii="Times New Roman" w:eastAsia="Times New Roman" w:hAnsi="Times New Roman" w:cs="Times New Roman"/>
        <w:sz w:val="20"/>
        <w:szCs w:val="20"/>
      </w:rPr>
      <w:t>2015 Joint Southeastern/Southwest Regional Meeting</w:t>
    </w:r>
    <w:r w:rsidR="00D87FBA" w:rsidRPr="00D87FBA">
      <w:rPr>
        <w:rFonts w:ascii="Times New Roman" w:hAnsi="Times New Roman" w:cs="Times New Roman"/>
        <w:sz w:val="20"/>
      </w:rPr>
      <w:tab/>
    </w:r>
    <w:r w:rsidR="00D87FBA" w:rsidRPr="00D87FBA">
      <w:rPr>
        <w:rFonts w:ascii="Times New Roman" w:hAnsi="Times New Roman" w:cs="Times New Roman"/>
        <w:sz w:val="20"/>
      </w:rPr>
      <w:tab/>
    </w:r>
    <w:r w:rsidR="00784F32" w:rsidRPr="001F139D">
      <w:rPr>
        <w:rFonts w:ascii="Times New Roman" w:eastAsia="Times New Roman" w:hAnsi="Times New Roman" w:cs="Times New Roman"/>
        <w:sz w:val="20"/>
        <w:szCs w:val="20"/>
      </w:rPr>
      <w:t>General Analytical Chemistry - Poster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3CF"/>
    <w:rsid w:val="00035A9B"/>
    <w:rsid w:val="0004137C"/>
    <w:rsid w:val="00071B5D"/>
    <w:rsid w:val="001050A4"/>
    <w:rsid w:val="001475F6"/>
    <w:rsid w:val="00151D5C"/>
    <w:rsid w:val="001B12EC"/>
    <w:rsid w:val="001B2600"/>
    <w:rsid w:val="001E4FBF"/>
    <w:rsid w:val="0020021A"/>
    <w:rsid w:val="0020086D"/>
    <w:rsid w:val="002216BC"/>
    <w:rsid w:val="00270BD7"/>
    <w:rsid w:val="00277A4C"/>
    <w:rsid w:val="00282B54"/>
    <w:rsid w:val="002840C4"/>
    <w:rsid w:val="002D3191"/>
    <w:rsid w:val="0036674A"/>
    <w:rsid w:val="00381614"/>
    <w:rsid w:val="00383835"/>
    <w:rsid w:val="00383ECA"/>
    <w:rsid w:val="003B00FE"/>
    <w:rsid w:val="003F0FC6"/>
    <w:rsid w:val="003F4B71"/>
    <w:rsid w:val="003F7525"/>
    <w:rsid w:val="004417DB"/>
    <w:rsid w:val="004503CF"/>
    <w:rsid w:val="00461A63"/>
    <w:rsid w:val="00512B7D"/>
    <w:rsid w:val="0053706A"/>
    <w:rsid w:val="00556ED6"/>
    <w:rsid w:val="005B1E45"/>
    <w:rsid w:val="0069784B"/>
    <w:rsid w:val="00741B5C"/>
    <w:rsid w:val="007522D0"/>
    <w:rsid w:val="00780D2B"/>
    <w:rsid w:val="00784F32"/>
    <w:rsid w:val="0084043F"/>
    <w:rsid w:val="008746AB"/>
    <w:rsid w:val="008B4358"/>
    <w:rsid w:val="008E65A2"/>
    <w:rsid w:val="00953590"/>
    <w:rsid w:val="009679FC"/>
    <w:rsid w:val="009867B3"/>
    <w:rsid w:val="00A07337"/>
    <w:rsid w:val="00A23226"/>
    <w:rsid w:val="00A65A68"/>
    <w:rsid w:val="00AD0DB2"/>
    <w:rsid w:val="00AD5753"/>
    <w:rsid w:val="00AD6BE5"/>
    <w:rsid w:val="00C034C4"/>
    <w:rsid w:val="00C507C6"/>
    <w:rsid w:val="00D223FD"/>
    <w:rsid w:val="00D338C9"/>
    <w:rsid w:val="00D87FBA"/>
    <w:rsid w:val="00DB7F1A"/>
    <w:rsid w:val="00DE39D8"/>
    <w:rsid w:val="00E43435"/>
    <w:rsid w:val="00EA74DC"/>
    <w:rsid w:val="00ED1023"/>
    <w:rsid w:val="00ED3109"/>
    <w:rsid w:val="00F17093"/>
    <w:rsid w:val="00F70BCC"/>
    <w:rsid w:val="00FC55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contents">
    <w:name w:val="pagecontents"/>
    <w:basedOn w:val="DefaultParagraphFont"/>
    <w:rsid w:val="004503CF"/>
  </w:style>
  <w:style w:type="character" w:styleId="Hyperlink">
    <w:name w:val="Hyperlink"/>
    <w:basedOn w:val="DefaultParagraphFont"/>
    <w:uiPriority w:val="99"/>
    <w:semiHidden/>
    <w:unhideWhenUsed/>
    <w:rsid w:val="004503CF"/>
    <w:rPr>
      <w:color w:val="0000FF"/>
      <w:u w:val="single"/>
    </w:rPr>
  </w:style>
  <w:style w:type="numbering" w:customStyle="1" w:styleId="NoList1">
    <w:name w:val="No List1"/>
    <w:next w:val="NoList"/>
    <w:uiPriority w:val="99"/>
    <w:semiHidden/>
    <w:unhideWhenUsed/>
    <w:rsid w:val="00383835"/>
  </w:style>
  <w:style w:type="character" w:styleId="FollowedHyperlink">
    <w:name w:val="FollowedHyperlink"/>
    <w:basedOn w:val="DefaultParagraphFont"/>
    <w:uiPriority w:val="99"/>
    <w:semiHidden/>
    <w:unhideWhenUsed/>
    <w:rsid w:val="00383835"/>
    <w:rPr>
      <w:color w:val="800080"/>
      <w:u w:val="single"/>
    </w:rPr>
  </w:style>
  <w:style w:type="numbering" w:customStyle="1" w:styleId="NoList2">
    <w:name w:val="No List2"/>
    <w:next w:val="NoList"/>
    <w:uiPriority w:val="99"/>
    <w:semiHidden/>
    <w:unhideWhenUsed/>
    <w:rsid w:val="003B00FE"/>
  </w:style>
  <w:style w:type="numbering" w:customStyle="1" w:styleId="NoList3">
    <w:name w:val="No List3"/>
    <w:next w:val="NoList"/>
    <w:uiPriority w:val="99"/>
    <w:semiHidden/>
    <w:unhideWhenUsed/>
    <w:rsid w:val="002216BC"/>
  </w:style>
  <w:style w:type="numbering" w:customStyle="1" w:styleId="NoList4">
    <w:name w:val="No List4"/>
    <w:next w:val="NoList"/>
    <w:uiPriority w:val="99"/>
    <w:semiHidden/>
    <w:unhideWhenUsed/>
    <w:rsid w:val="00AD0DB2"/>
  </w:style>
  <w:style w:type="numbering" w:customStyle="1" w:styleId="NoList5">
    <w:name w:val="No List5"/>
    <w:next w:val="NoList"/>
    <w:uiPriority w:val="99"/>
    <w:semiHidden/>
    <w:unhideWhenUsed/>
    <w:rsid w:val="0036674A"/>
  </w:style>
  <w:style w:type="numbering" w:customStyle="1" w:styleId="NoList6">
    <w:name w:val="No List6"/>
    <w:next w:val="NoList"/>
    <w:uiPriority w:val="99"/>
    <w:semiHidden/>
    <w:unhideWhenUsed/>
    <w:rsid w:val="00953590"/>
  </w:style>
  <w:style w:type="numbering" w:customStyle="1" w:styleId="NoList7">
    <w:name w:val="No List7"/>
    <w:next w:val="NoList"/>
    <w:uiPriority w:val="99"/>
    <w:semiHidden/>
    <w:unhideWhenUsed/>
    <w:rsid w:val="0020021A"/>
  </w:style>
  <w:style w:type="numbering" w:customStyle="1" w:styleId="NoList8">
    <w:name w:val="No List8"/>
    <w:next w:val="NoList"/>
    <w:uiPriority w:val="99"/>
    <w:semiHidden/>
    <w:unhideWhenUsed/>
    <w:rsid w:val="00DE39D8"/>
  </w:style>
  <w:style w:type="paragraph" w:styleId="NormalWeb">
    <w:name w:val="Normal (Web)"/>
    <w:basedOn w:val="Normal"/>
    <w:uiPriority w:val="99"/>
    <w:semiHidden/>
    <w:unhideWhenUsed/>
    <w:rsid w:val="00DE39D8"/>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9">
    <w:name w:val="No List9"/>
    <w:next w:val="NoList"/>
    <w:uiPriority w:val="99"/>
    <w:semiHidden/>
    <w:unhideWhenUsed/>
    <w:rsid w:val="00F70BCC"/>
  </w:style>
  <w:style w:type="numbering" w:customStyle="1" w:styleId="NoList10">
    <w:name w:val="No List10"/>
    <w:next w:val="NoList"/>
    <w:uiPriority w:val="99"/>
    <w:semiHidden/>
    <w:unhideWhenUsed/>
    <w:rsid w:val="0069784B"/>
  </w:style>
  <w:style w:type="numbering" w:customStyle="1" w:styleId="NoList11">
    <w:name w:val="No List11"/>
    <w:next w:val="NoList"/>
    <w:uiPriority w:val="99"/>
    <w:semiHidden/>
    <w:unhideWhenUsed/>
    <w:rsid w:val="00D87FBA"/>
  </w:style>
  <w:style w:type="paragraph" w:styleId="z-TopofForm">
    <w:name w:val="HTML Top of Form"/>
    <w:basedOn w:val="Normal"/>
    <w:next w:val="Normal"/>
    <w:link w:val="z-TopofFormChar"/>
    <w:hidden/>
    <w:uiPriority w:val="99"/>
    <w:semiHidden/>
    <w:unhideWhenUsed/>
    <w:rsid w:val="00D87FB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87FB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87FB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87FBA"/>
    <w:rPr>
      <w:rFonts w:ascii="Arial" w:eastAsia="Times New Roman" w:hAnsi="Arial" w:cs="Arial"/>
      <w:vanish/>
      <w:sz w:val="16"/>
      <w:szCs w:val="16"/>
    </w:rPr>
  </w:style>
  <w:style w:type="character" w:customStyle="1" w:styleId="pageheader">
    <w:name w:val="pageheader"/>
    <w:basedOn w:val="DefaultParagraphFont"/>
    <w:rsid w:val="00D87FBA"/>
  </w:style>
  <w:style w:type="paragraph" w:styleId="Header">
    <w:name w:val="header"/>
    <w:basedOn w:val="Normal"/>
    <w:link w:val="HeaderChar"/>
    <w:uiPriority w:val="99"/>
    <w:unhideWhenUsed/>
    <w:rsid w:val="00D87F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7FBA"/>
  </w:style>
  <w:style w:type="paragraph" w:styleId="Footer">
    <w:name w:val="footer"/>
    <w:basedOn w:val="Normal"/>
    <w:link w:val="FooterChar"/>
    <w:uiPriority w:val="99"/>
    <w:unhideWhenUsed/>
    <w:rsid w:val="00D87F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7FBA"/>
  </w:style>
  <w:style w:type="numbering" w:customStyle="1" w:styleId="NoList12">
    <w:name w:val="No List12"/>
    <w:next w:val="NoList"/>
    <w:uiPriority w:val="99"/>
    <w:semiHidden/>
    <w:unhideWhenUsed/>
    <w:rsid w:val="00381614"/>
  </w:style>
  <w:style w:type="numbering" w:customStyle="1" w:styleId="NoList13">
    <w:name w:val="No List13"/>
    <w:next w:val="NoList"/>
    <w:uiPriority w:val="99"/>
    <w:semiHidden/>
    <w:unhideWhenUsed/>
    <w:rsid w:val="00381614"/>
  </w:style>
  <w:style w:type="numbering" w:customStyle="1" w:styleId="NoList14">
    <w:name w:val="No List14"/>
    <w:next w:val="NoList"/>
    <w:uiPriority w:val="99"/>
    <w:semiHidden/>
    <w:unhideWhenUsed/>
    <w:rsid w:val="008746AB"/>
  </w:style>
  <w:style w:type="numbering" w:customStyle="1" w:styleId="NoList15">
    <w:name w:val="No List15"/>
    <w:next w:val="NoList"/>
    <w:uiPriority w:val="99"/>
    <w:semiHidden/>
    <w:unhideWhenUsed/>
    <w:rsid w:val="008746A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pagecontents">
    <w:name w:val="pagecontents"/>
    <w:basedOn w:val="DefaultParagraphFont"/>
    <w:rsid w:val="004503CF"/>
  </w:style>
  <w:style w:type="character" w:styleId="Hyperlink">
    <w:name w:val="Hyperlink"/>
    <w:basedOn w:val="DefaultParagraphFont"/>
    <w:uiPriority w:val="99"/>
    <w:semiHidden/>
    <w:unhideWhenUsed/>
    <w:rsid w:val="004503CF"/>
    <w:rPr>
      <w:color w:val="0000FF"/>
      <w:u w:val="single"/>
    </w:rPr>
  </w:style>
  <w:style w:type="numbering" w:customStyle="1" w:styleId="NoList1">
    <w:name w:val="No List1"/>
    <w:next w:val="NoList"/>
    <w:uiPriority w:val="99"/>
    <w:semiHidden/>
    <w:unhideWhenUsed/>
    <w:rsid w:val="00383835"/>
  </w:style>
  <w:style w:type="character" w:styleId="FollowedHyperlink">
    <w:name w:val="FollowedHyperlink"/>
    <w:basedOn w:val="DefaultParagraphFont"/>
    <w:uiPriority w:val="99"/>
    <w:semiHidden/>
    <w:unhideWhenUsed/>
    <w:rsid w:val="00383835"/>
    <w:rPr>
      <w:color w:val="800080"/>
      <w:u w:val="single"/>
    </w:rPr>
  </w:style>
  <w:style w:type="numbering" w:customStyle="1" w:styleId="NoList2">
    <w:name w:val="No List2"/>
    <w:next w:val="NoList"/>
    <w:uiPriority w:val="99"/>
    <w:semiHidden/>
    <w:unhideWhenUsed/>
    <w:rsid w:val="003B00FE"/>
  </w:style>
  <w:style w:type="numbering" w:customStyle="1" w:styleId="NoList3">
    <w:name w:val="No List3"/>
    <w:next w:val="NoList"/>
    <w:uiPriority w:val="99"/>
    <w:semiHidden/>
    <w:unhideWhenUsed/>
    <w:rsid w:val="002216BC"/>
  </w:style>
  <w:style w:type="numbering" w:customStyle="1" w:styleId="NoList4">
    <w:name w:val="No List4"/>
    <w:next w:val="NoList"/>
    <w:uiPriority w:val="99"/>
    <w:semiHidden/>
    <w:unhideWhenUsed/>
    <w:rsid w:val="00AD0DB2"/>
  </w:style>
  <w:style w:type="numbering" w:customStyle="1" w:styleId="NoList5">
    <w:name w:val="No List5"/>
    <w:next w:val="NoList"/>
    <w:uiPriority w:val="99"/>
    <w:semiHidden/>
    <w:unhideWhenUsed/>
    <w:rsid w:val="0036674A"/>
  </w:style>
  <w:style w:type="numbering" w:customStyle="1" w:styleId="NoList6">
    <w:name w:val="No List6"/>
    <w:next w:val="NoList"/>
    <w:uiPriority w:val="99"/>
    <w:semiHidden/>
    <w:unhideWhenUsed/>
    <w:rsid w:val="00953590"/>
  </w:style>
  <w:style w:type="numbering" w:customStyle="1" w:styleId="NoList7">
    <w:name w:val="No List7"/>
    <w:next w:val="NoList"/>
    <w:uiPriority w:val="99"/>
    <w:semiHidden/>
    <w:unhideWhenUsed/>
    <w:rsid w:val="0020021A"/>
  </w:style>
  <w:style w:type="numbering" w:customStyle="1" w:styleId="NoList8">
    <w:name w:val="No List8"/>
    <w:next w:val="NoList"/>
    <w:uiPriority w:val="99"/>
    <w:semiHidden/>
    <w:unhideWhenUsed/>
    <w:rsid w:val="00DE39D8"/>
  </w:style>
  <w:style w:type="paragraph" w:styleId="NormalWeb">
    <w:name w:val="Normal (Web)"/>
    <w:basedOn w:val="Normal"/>
    <w:uiPriority w:val="99"/>
    <w:semiHidden/>
    <w:unhideWhenUsed/>
    <w:rsid w:val="00DE39D8"/>
    <w:pPr>
      <w:spacing w:before="100" w:beforeAutospacing="1" w:after="100" w:afterAutospacing="1" w:line="240" w:lineRule="auto"/>
    </w:pPr>
    <w:rPr>
      <w:rFonts w:ascii="Times New Roman" w:eastAsia="Times New Roman" w:hAnsi="Times New Roman" w:cs="Times New Roman"/>
      <w:sz w:val="24"/>
      <w:szCs w:val="24"/>
    </w:rPr>
  </w:style>
  <w:style w:type="numbering" w:customStyle="1" w:styleId="NoList9">
    <w:name w:val="No List9"/>
    <w:next w:val="NoList"/>
    <w:uiPriority w:val="99"/>
    <w:semiHidden/>
    <w:unhideWhenUsed/>
    <w:rsid w:val="00F70BCC"/>
  </w:style>
  <w:style w:type="numbering" w:customStyle="1" w:styleId="NoList10">
    <w:name w:val="No List10"/>
    <w:next w:val="NoList"/>
    <w:uiPriority w:val="99"/>
    <w:semiHidden/>
    <w:unhideWhenUsed/>
    <w:rsid w:val="0069784B"/>
  </w:style>
  <w:style w:type="numbering" w:customStyle="1" w:styleId="NoList11">
    <w:name w:val="No List11"/>
    <w:next w:val="NoList"/>
    <w:uiPriority w:val="99"/>
    <w:semiHidden/>
    <w:unhideWhenUsed/>
    <w:rsid w:val="00D87FBA"/>
  </w:style>
  <w:style w:type="paragraph" w:styleId="z-TopofForm">
    <w:name w:val="HTML Top of Form"/>
    <w:basedOn w:val="Normal"/>
    <w:next w:val="Normal"/>
    <w:link w:val="z-TopofFormChar"/>
    <w:hidden/>
    <w:uiPriority w:val="99"/>
    <w:semiHidden/>
    <w:unhideWhenUsed/>
    <w:rsid w:val="00D87FBA"/>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D87FBA"/>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D87FBA"/>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D87FBA"/>
    <w:rPr>
      <w:rFonts w:ascii="Arial" w:eastAsia="Times New Roman" w:hAnsi="Arial" w:cs="Arial"/>
      <w:vanish/>
      <w:sz w:val="16"/>
      <w:szCs w:val="16"/>
    </w:rPr>
  </w:style>
  <w:style w:type="character" w:customStyle="1" w:styleId="pageheader">
    <w:name w:val="pageheader"/>
    <w:basedOn w:val="DefaultParagraphFont"/>
    <w:rsid w:val="00D87FBA"/>
  </w:style>
  <w:style w:type="paragraph" w:styleId="Header">
    <w:name w:val="header"/>
    <w:basedOn w:val="Normal"/>
    <w:link w:val="HeaderChar"/>
    <w:uiPriority w:val="99"/>
    <w:unhideWhenUsed/>
    <w:rsid w:val="00D87FBA"/>
    <w:pPr>
      <w:tabs>
        <w:tab w:val="center" w:pos="4680"/>
        <w:tab w:val="right" w:pos="9360"/>
      </w:tabs>
      <w:spacing w:after="0" w:line="240" w:lineRule="auto"/>
    </w:pPr>
  </w:style>
  <w:style w:type="character" w:customStyle="1" w:styleId="HeaderChar">
    <w:name w:val="Header Char"/>
    <w:basedOn w:val="DefaultParagraphFont"/>
    <w:link w:val="Header"/>
    <w:uiPriority w:val="99"/>
    <w:rsid w:val="00D87FBA"/>
  </w:style>
  <w:style w:type="paragraph" w:styleId="Footer">
    <w:name w:val="footer"/>
    <w:basedOn w:val="Normal"/>
    <w:link w:val="FooterChar"/>
    <w:uiPriority w:val="99"/>
    <w:unhideWhenUsed/>
    <w:rsid w:val="00D87FBA"/>
    <w:pPr>
      <w:tabs>
        <w:tab w:val="center" w:pos="4680"/>
        <w:tab w:val="right" w:pos="9360"/>
      </w:tabs>
      <w:spacing w:after="0" w:line="240" w:lineRule="auto"/>
    </w:pPr>
  </w:style>
  <w:style w:type="character" w:customStyle="1" w:styleId="FooterChar">
    <w:name w:val="Footer Char"/>
    <w:basedOn w:val="DefaultParagraphFont"/>
    <w:link w:val="Footer"/>
    <w:uiPriority w:val="99"/>
    <w:rsid w:val="00D87FBA"/>
  </w:style>
  <w:style w:type="numbering" w:customStyle="1" w:styleId="NoList12">
    <w:name w:val="No List12"/>
    <w:next w:val="NoList"/>
    <w:uiPriority w:val="99"/>
    <w:semiHidden/>
    <w:unhideWhenUsed/>
    <w:rsid w:val="00381614"/>
  </w:style>
  <w:style w:type="numbering" w:customStyle="1" w:styleId="NoList13">
    <w:name w:val="No List13"/>
    <w:next w:val="NoList"/>
    <w:uiPriority w:val="99"/>
    <w:semiHidden/>
    <w:unhideWhenUsed/>
    <w:rsid w:val="00381614"/>
  </w:style>
  <w:style w:type="numbering" w:customStyle="1" w:styleId="NoList14">
    <w:name w:val="No List14"/>
    <w:next w:val="NoList"/>
    <w:uiPriority w:val="99"/>
    <w:semiHidden/>
    <w:unhideWhenUsed/>
    <w:rsid w:val="008746AB"/>
  </w:style>
  <w:style w:type="numbering" w:customStyle="1" w:styleId="NoList15">
    <w:name w:val="No List15"/>
    <w:next w:val="NoList"/>
    <w:uiPriority w:val="99"/>
    <w:semiHidden/>
    <w:unhideWhenUsed/>
    <w:rsid w:val="008746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851259">
      <w:bodyDiv w:val="1"/>
      <w:marLeft w:val="0"/>
      <w:marRight w:val="0"/>
      <w:marTop w:val="0"/>
      <w:marBottom w:val="0"/>
      <w:divBdr>
        <w:top w:val="none" w:sz="0" w:space="0" w:color="auto"/>
        <w:left w:val="none" w:sz="0" w:space="0" w:color="auto"/>
        <w:bottom w:val="none" w:sz="0" w:space="0" w:color="auto"/>
        <w:right w:val="none" w:sz="0" w:space="0" w:color="auto"/>
      </w:divBdr>
    </w:div>
    <w:div w:id="72047439">
      <w:bodyDiv w:val="1"/>
      <w:marLeft w:val="0"/>
      <w:marRight w:val="0"/>
      <w:marTop w:val="0"/>
      <w:marBottom w:val="0"/>
      <w:divBdr>
        <w:top w:val="none" w:sz="0" w:space="0" w:color="auto"/>
        <w:left w:val="none" w:sz="0" w:space="0" w:color="auto"/>
        <w:bottom w:val="none" w:sz="0" w:space="0" w:color="auto"/>
        <w:right w:val="none" w:sz="0" w:space="0" w:color="auto"/>
      </w:divBdr>
    </w:div>
    <w:div w:id="221796799">
      <w:bodyDiv w:val="1"/>
      <w:marLeft w:val="0"/>
      <w:marRight w:val="0"/>
      <w:marTop w:val="0"/>
      <w:marBottom w:val="0"/>
      <w:divBdr>
        <w:top w:val="none" w:sz="0" w:space="0" w:color="auto"/>
        <w:left w:val="none" w:sz="0" w:space="0" w:color="auto"/>
        <w:bottom w:val="none" w:sz="0" w:space="0" w:color="auto"/>
        <w:right w:val="none" w:sz="0" w:space="0" w:color="auto"/>
      </w:divBdr>
    </w:div>
    <w:div w:id="294022731">
      <w:bodyDiv w:val="1"/>
      <w:marLeft w:val="0"/>
      <w:marRight w:val="0"/>
      <w:marTop w:val="0"/>
      <w:marBottom w:val="0"/>
      <w:divBdr>
        <w:top w:val="none" w:sz="0" w:space="0" w:color="auto"/>
        <w:left w:val="none" w:sz="0" w:space="0" w:color="auto"/>
        <w:bottom w:val="none" w:sz="0" w:space="0" w:color="auto"/>
        <w:right w:val="none" w:sz="0" w:space="0" w:color="auto"/>
      </w:divBdr>
    </w:div>
    <w:div w:id="342362304">
      <w:bodyDiv w:val="1"/>
      <w:marLeft w:val="0"/>
      <w:marRight w:val="0"/>
      <w:marTop w:val="0"/>
      <w:marBottom w:val="0"/>
      <w:divBdr>
        <w:top w:val="none" w:sz="0" w:space="0" w:color="auto"/>
        <w:left w:val="none" w:sz="0" w:space="0" w:color="auto"/>
        <w:bottom w:val="none" w:sz="0" w:space="0" w:color="auto"/>
        <w:right w:val="none" w:sz="0" w:space="0" w:color="auto"/>
      </w:divBdr>
    </w:div>
    <w:div w:id="379326885">
      <w:bodyDiv w:val="1"/>
      <w:marLeft w:val="0"/>
      <w:marRight w:val="0"/>
      <w:marTop w:val="0"/>
      <w:marBottom w:val="0"/>
      <w:divBdr>
        <w:top w:val="none" w:sz="0" w:space="0" w:color="auto"/>
        <w:left w:val="none" w:sz="0" w:space="0" w:color="auto"/>
        <w:bottom w:val="none" w:sz="0" w:space="0" w:color="auto"/>
        <w:right w:val="none" w:sz="0" w:space="0" w:color="auto"/>
      </w:divBdr>
    </w:div>
    <w:div w:id="390425653">
      <w:bodyDiv w:val="1"/>
      <w:marLeft w:val="0"/>
      <w:marRight w:val="0"/>
      <w:marTop w:val="0"/>
      <w:marBottom w:val="0"/>
      <w:divBdr>
        <w:top w:val="none" w:sz="0" w:space="0" w:color="auto"/>
        <w:left w:val="none" w:sz="0" w:space="0" w:color="auto"/>
        <w:bottom w:val="none" w:sz="0" w:space="0" w:color="auto"/>
        <w:right w:val="none" w:sz="0" w:space="0" w:color="auto"/>
      </w:divBdr>
    </w:div>
    <w:div w:id="465976943">
      <w:bodyDiv w:val="1"/>
      <w:marLeft w:val="0"/>
      <w:marRight w:val="0"/>
      <w:marTop w:val="0"/>
      <w:marBottom w:val="0"/>
      <w:divBdr>
        <w:top w:val="none" w:sz="0" w:space="0" w:color="auto"/>
        <w:left w:val="none" w:sz="0" w:space="0" w:color="auto"/>
        <w:bottom w:val="none" w:sz="0" w:space="0" w:color="auto"/>
        <w:right w:val="none" w:sz="0" w:space="0" w:color="auto"/>
      </w:divBdr>
    </w:div>
    <w:div w:id="812254224">
      <w:bodyDiv w:val="1"/>
      <w:marLeft w:val="0"/>
      <w:marRight w:val="0"/>
      <w:marTop w:val="0"/>
      <w:marBottom w:val="0"/>
      <w:divBdr>
        <w:top w:val="none" w:sz="0" w:space="0" w:color="auto"/>
        <w:left w:val="none" w:sz="0" w:space="0" w:color="auto"/>
        <w:bottom w:val="none" w:sz="0" w:space="0" w:color="auto"/>
        <w:right w:val="none" w:sz="0" w:space="0" w:color="auto"/>
      </w:divBdr>
    </w:div>
    <w:div w:id="833187530">
      <w:bodyDiv w:val="1"/>
      <w:marLeft w:val="0"/>
      <w:marRight w:val="0"/>
      <w:marTop w:val="0"/>
      <w:marBottom w:val="0"/>
      <w:divBdr>
        <w:top w:val="none" w:sz="0" w:space="0" w:color="auto"/>
        <w:left w:val="none" w:sz="0" w:space="0" w:color="auto"/>
        <w:bottom w:val="none" w:sz="0" w:space="0" w:color="auto"/>
        <w:right w:val="none" w:sz="0" w:space="0" w:color="auto"/>
      </w:divBdr>
    </w:div>
    <w:div w:id="1140541030">
      <w:bodyDiv w:val="1"/>
      <w:marLeft w:val="0"/>
      <w:marRight w:val="0"/>
      <w:marTop w:val="0"/>
      <w:marBottom w:val="0"/>
      <w:divBdr>
        <w:top w:val="none" w:sz="0" w:space="0" w:color="auto"/>
        <w:left w:val="none" w:sz="0" w:space="0" w:color="auto"/>
        <w:bottom w:val="none" w:sz="0" w:space="0" w:color="auto"/>
        <w:right w:val="none" w:sz="0" w:space="0" w:color="auto"/>
      </w:divBdr>
    </w:div>
    <w:div w:id="1168207451">
      <w:bodyDiv w:val="1"/>
      <w:marLeft w:val="0"/>
      <w:marRight w:val="0"/>
      <w:marTop w:val="0"/>
      <w:marBottom w:val="0"/>
      <w:divBdr>
        <w:top w:val="none" w:sz="0" w:space="0" w:color="auto"/>
        <w:left w:val="none" w:sz="0" w:space="0" w:color="auto"/>
        <w:bottom w:val="none" w:sz="0" w:space="0" w:color="auto"/>
        <w:right w:val="none" w:sz="0" w:space="0" w:color="auto"/>
      </w:divBdr>
    </w:div>
    <w:div w:id="1223905244">
      <w:bodyDiv w:val="1"/>
      <w:marLeft w:val="0"/>
      <w:marRight w:val="0"/>
      <w:marTop w:val="0"/>
      <w:marBottom w:val="0"/>
      <w:divBdr>
        <w:top w:val="none" w:sz="0" w:space="0" w:color="auto"/>
        <w:left w:val="none" w:sz="0" w:space="0" w:color="auto"/>
        <w:bottom w:val="none" w:sz="0" w:space="0" w:color="auto"/>
        <w:right w:val="none" w:sz="0" w:space="0" w:color="auto"/>
      </w:divBdr>
    </w:div>
    <w:div w:id="1307080497">
      <w:bodyDiv w:val="1"/>
      <w:marLeft w:val="0"/>
      <w:marRight w:val="0"/>
      <w:marTop w:val="0"/>
      <w:marBottom w:val="0"/>
      <w:divBdr>
        <w:top w:val="none" w:sz="0" w:space="0" w:color="auto"/>
        <w:left w:val="none" w:sz="0" w:space="0" w:color="auto"/>
        <w:bottom w:val="none" w:sz="0" w:space="0" w:color="auto"/>
        <w:right w:val="none" w:sz="0" w:space="0" w:color="auto"/>
      </w:divBdr>
    </w:div>
    <w:div w:id="1476097889">
      <w:bodyDiv w:val="1"/>
      <w:marLeft w:val="0"/>
      <w:marRight w:val="0"/>
      <w:marTop w:val="0"/>
      <w:marBottom w:val="0"/>
      <w:divBdr>
        <w:top w:val="none" w:sz="0" w:space="0" w:color="auto"/>
        <w:left w:val="none" w:sz="0" w:space="0" w:color="auto"/>
        <w:bottom w:val="none" w:sz="0" w:space="0" w:color="auto"/>
        <w:right w:val="none" w:sz="0" w:space="0" w:color="auto"/>
      </w:divBdr>
    </w:div>
    <w:div w:id="1490973908">
      <w:bodyDiv w:val="1"/>
      <w:marLeft w:val="0"/>
      <w:marRight w:val="0"/>
      <w:marTop w:val="0"/>
      <w:marBottom w:val="0"/>
      <w:divBdr>
        <w:top w:val="none" w:sz="0" w:space="0" w:color="auto"/>
        <w:left w:val="none" w:sz="0" w:space="0" w:color="auto"/>
        <w:bottom w:val="none" w:sz="0" w:space="0" w:color="auto"/>
        <w:right w:val="none" w:sz="0" w:space="0" w:color="auto"/>
      </w:divBdr>
    </w:div>
    <w:div w:id="1498114248">
      <w:bodyDiv w:val="1"/>
      <w:marLeft w:val="0"/>
      <w:marRight w:val="0"/>
      <w:marTop w:val="0"/>
      <w:marBottom w:val="0"/>
      <w:divBdr>
        <w:top w:val="none" w:sz="0" w:space="0" w:color="auto"/>
        <w:left w:val="none" w:sz="0" w:space="0" w:color="auto"/>
        <w:bottom w:val="none" w:sz="0" w:space="0" w:color="auto"/>
        <w:right w:val="none" w:sz="0" w:space="0" w:color="auto"/>
      </w:divBdr>
    </w:div>
    <w:div w:id="1701661396">
      <w:bodyDiv w:val="1"/>
      <w:marLeft w:val="0"/>
      <w:marRight w:val="0"/>
      <w:marTop w:val="0"/>
      <w:marBottom w:val="0"/>
      <w:divBdr>
        <w:top w:val="none" w:sz="0" w:space="0" w:color="auto"/>
        <w:left w:val="none" w:sz="0" w:space="0" w:color="auto"/>
        <w:bottom w:val="none" w:sz="0" w:space="0" w:color="auto"/>
        <w:right w:val="none" w:sz="0" w:space="0" w:color="auto"/>
      </w:divBdr>
    </w:div>
    <w:div w:id="1894153675">
      <w:bodyDiv w:val="1"/>
      <w:marLeft w:val="0"/>
      <w:marRight w:val="0"/>
      <w:marTop w:val="0"/>
      <w:marBottom w:val="0"/>
      <w:divBdr>
        <w:top w:val="none" w:sz="0" w:space="0" w:color="auto"/>
        <w:left w:val="none" w:sz="0" w:space="0" w:color="auto"/>
        <w:bottom w:val="none" w:sz="0" w:space="0" w:color="auto"/>
        <w:right w:val="none" w:sz="0" w:space="0" w:color="auto"/>
      </w:divBdr>
    </w:div>
    <w:div w:id="1977295369">
      <w:bodyDiv w:val="1"/>
      <w:marLeft w:val="0"/>
      <w:marRight w:val="0"/>
      <w:marTop w:val="0"/>
      <w:marBottom w:val="0"/>
      <w:divBdr>
        <w:top w:val="none" w:sz="0" w:space="0" w:color="auto"/>
        <w:left w:val="none" w:sz="0" w:space="0" w:color="auto"/>
        <w:bottom w:val="none" w:sz="0" w:space="0" w:color="auto"/>
        <w:right w:val="none" w:sz="0" w:space="0" w:color="auto"/>
      </w:divBdr>
    </w:div>
    <w:div w:id="2031225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14017</Words>
  <Characters>79902</Characters>
  <Application>Microsoft Office Word</Application>
  <DocSecurity>0</DocSecurity>
  <Lines>665</Lines>
  <Paragraphs>187</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93732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 Green</dc:creator>
  <cp:lastModifiedBy>Robin Green</cp:lastModifiedBy>
  <cp:revision>3</cp:revision>
  <dcterms:created xsi:type="dcterms:W3CDTF">2015-09-02T20:59:00Z</dcterms:created>
  <dcterms:modified xsi:type="dcterms:W3CDTF">2015-09-02T21:00:00Z</dcterms:modified>
</cp:coreProperties>
</file>