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Look w:val="04A0" w:firstRow="1" w:lastRow="0" w:firstColumn="1" w:lastColumn="0" w:noHBand="0" w:noVBand="1"/>
      </w:tblPr>
      <w:tblGrid>
        <w:gridCol w:w="9450"/>
      </w:tblGrid>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2347584</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 xml:space="preserve">Why doesn’t thermal analysis give consistent </w:t>
                  </w:r>
                  <w:proofErr w:type="spellStart"/>
                  <w:r>
                    <w:rPr>
                      <w:rFonts w:ascii="Times New Roman" w:eastAsia="Times New Roman" w:hAnsi="Times New Roman"/>
                      <w:sz w:val="20"/>
                      <w:szCs w:val="20"/>
                    </w:rPr>
                    <w:t>Arrhemius</w:t>
                  </w:r>
                  <w:proofErr w:type="spellEnd"/>
                  <w:r>
                    <w:rPr>
                      <w:rFonts w:ascii="Times New Roman" w:eastAsia="Times New Roman" w:hAnsi="Times New Roman"/>
                      <w:sz w:val="20"/>
                      <w:szCs w:val="20"/>
                    </w:rPr>
                    <w:t xml:space="preserve"> parameters for simple systems?</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Thomas Devore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devoretc@jmu.edu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Thomas C. Devore</w:t>
                  </w:r>
                  <w:r>
                    <w:rPr>
                      <w:rFonts w:ascii="Times New Roman" w:eastAsia="Times New Roman" w:hAnsi="Times New Roman"/>
                      <w:sz w:val="20"/>
                      <w:szCs w:val="20"/>
                      <w:vertAlign w:val="superscript"/>
                    </w:rPr>
                    <w:t>1</w:t>
                  </w:r>
                  <w:r>
                    <w:rPr>
                      <w:rFonts w:ascii="Times New Roman" w:eastAsia="Times New Roman" w:hAnsi="Times New Roman"/>
                      <w:sz w:val="20"/>
                      <w:szCs w:val="20"/>
                    </w:rPr>
                    <w:t>, Nicholas Cooper</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w:t>
                  </w:r>
                  <w:proofErr w:type="spellStart"/>
                  <w:r>
                    <w:rPr>
                      <w:rFonts w:ascii="Times New Roman" w:eastAsia="Times New Roman" w:hAnsi="Times New Roman"/>
                      <w:sz w:val="20"/>
                      <w:szCs w:val="20"/>
                    </w:rPr>
                    <w:t>Dept</w:t>
                  </w:r>
                  <w:proofErr w:type="spellEnd"/>
                  <w:r>
                    <w:rPr>
                      <w:rFonts w:ascii="Times New Roman" w:eastAsia="Times New Roman" w:hAnsi="Times New Roman"/>
                      <w:sz w:val="20"/>
                      <w:szCs w:val="20"/>
                    </w:rPr>
                    <w:t xml:space="preserve"> MSC 4501, James Madison </w:t>
                  </w:r>
                  <w:proofErr w:type="spellStart"/>
                  <w:r>
                    <w:rPr>
                      <w:rFonts w:ascii="Times New Roman" w:eastAsia="Times New Roman" w:hAnsi="Times New Roman"/>
                      <w:sz w:val="20"/>
                      <w:szCs w:val="20"/>
                    </w:rPr>
                    <w:t>Univ</w:t>
                  </w:r>
                  <w:proofErr w:type="spellEnd"/>
                  <w:r>
                    <w:rPr>
                      <w:rFonts w:ascii="Times New Roman" w:eastAsia="Times New Roman" w:hAnsi="Times New Roman"/>
                      <w:sz w:val="20"/>
                      <w:szCs w:val="20"/>
                    </w:rPr>
                    <w:t xml:space="preserve">, Harrisonburg, VA,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In thermal analysis, a simple system is one that thermally decomposes in one step through the loss of one or more gaseous compounds to produce one new solid compound. [1,2] Several different approaches have been developed to measure the dynamics of these decompositions, but in general, these different approaches give different values for the Arrhenius parameters. Evidence will be presented that many of these differences result from the breakdown of the assumption that the reaction is following a simple mechanism. Several examples showing how reactions with the carrier gas or with the evolved gases can affect the measured reaction dynamics will be presented. Changing the experimental conditions by changing the cell configuration, the sample size, or the heating rate are easy ways to determine if these secondary processes are occurring.</w:t>
                  </w:r>
                  <w:r>
                    <w:rPr>
                      <w:rFonts w:ascii="Times New Roman" w:eastAsia="Times New Roman" w:hAnsi="Times New Roman"/>
                      <w:sz w:val="20"/>
                      <w:szCs w:val="20"/>
                    </w:rPr>
                    <w:br/>
                    <w:t>.</w:t>
                  </w:r>
                  <w:r>
                    <w:rPr>
                      <w:rFonts w:ascii="Times New Roman" w:eastAsia="Times New Roman" w:hAnsi="Times New Roman"/>
                      <w:sz w:val="20"/>
                      <w:szCs w:val="20"/>
                    </w:rPr>
                    <w:br/>
                    <w:t xml:space="preserve">[1] </w:t>
                  </w:r>
                  <w:proofErr w:type="spellStart"/>
                  <w:r>
                    <w:rPr>
                      <w:rFonts w:ascii="Times New Roman" w:eastAsia="Times New Roman" w:hAnsi="Times New Roman"/>
                      <w:sz w:val="20"/>
                      <w:szCs w:val="20"/>
                    </w:rPr>
                    <w:t>Sergy</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Vyazovkin</w:t>
                  </w:r>
                  <w:proofErr w:type="spellEnd"/>
                  <w:r>
                    <w:rPr>
                      <w:rFonts w:ascii="Times New Roman" w:eastAsia="Times New Roman" w:hAnsi="Times New Roman"/>
                      <w:sz w:val="20"/>
                      <w:szCs w:val="20"/>
                    </w:rPr>
                    <w:t xml:space="preserve"> et al, </w:t>
                  </w:r>
                  <w:proofErr w:type="spellStart"/>
                  <w:r>
                    <w:rPr>
                      <w:rFonts w:ascii="Times New Roman" w:eastAsia="Times New Roman" w:hAnsi="Times New Roman"/>
                      <w:sz w:val="20"/>
                      <w:szCs w:val="20"/>
                    </w:rPr>
                    <w:t>Thermochim</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Acta</w:t>
                  </w:r>
                  <w:proofErr w:type="spellEnd"/>
                  <w:r>
                    <w:rPr>
                      <w:rFonts w:ascii="Times New Roman" w:eastAsia="Times New Roman" w:hAnsi="Times New Roman"/>
                      <w:sz w:val="20"/>
                      <w:szCs w:val="20"/>
                    </w:rPr>
                    <w:t xml:space="preserve"> 520 (2011) 1- 19.</w:t>
                  </w:r>
                  <w:r>
                    <w:rPr>
                      <w:rFonts w:ascii="Times New Roman" w:eastAsia="Times New Roman" w:hAnsi="Times New Roman"/>
                      <w:sz w:val="20"/>
                      <w:szCs w:val="20"/>
                    </w:rPr>
                    <w:br/>
                    <w:t xml:space="preserve">[2] </w:t>
                  </w:r>
                  <w:proofErr w:type="spellStart"/>
                  <w:r>
                    <w:rPr>
                      <w:rFonts w:ascii="Times New Roman" w:eastAsia="Times New Roman" w:hAnsi="Times New Roman"/>
                      <w:sz w:val="20"/>
                      <w:szCs w:val="20"/>
                    </w:rPr>
                    <w:t>Sergy</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Vyazovkin</w:t>
                  </w:r>
                  <w:proofErr w:type="spellEnd"/>
                  <w:r>
                    <w:rPr>
                      <w:rFonts w:ascii="Times New Roman" w:eastAsia="Times New Roman" w:hAnsi="Times New Roman"/>
                      <w:sz w:val="20"/>
                      <w:szCs w:val="20"/>
                    </w:rPr>
                    <w:t xml:space="preserve"> et al, </w:t>
                  </w:r>
                  <w:proofErr w:type="spellStart"/>
                  <w:r>
                    <w:rPr>
                      <w:rFonts w:ascii="Times New Roman" w:eastAsia="Times New Roman" w:hAnsi="Times New Roman"/>
                      <w:sz w:val="20"/>
                      <w:szCs w:val="20"/>
                    </w:rPr>
                    <w:t>Thermochim</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Acta</w:t>
                  </w:r>
                  <w:proofErr w:type="spellEnd"/>
                  <w:r>
                    <w:rPr>
                      <w:rFonts w:ascii="Times New Roman" w:eastAsia="Times New Roman" w:hAnsi="Times New Roman"/>
                      <w:sz w:val="20"/>
                      <w:szCs w:val="20"/>
                    </w:rPr>
                    <w:t xml:space="preserve"> 590 (2014) 1- 23.</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29"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2350640</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Photochemical reduction of CHCl</w:t>
                  </w:r>
                  <w:r>
                    <w:rPr>
                      <w:rFonts w:ascii="Times New Roman" w:eastAsia="Times New Roman" w:hAnsi="Times New Roman"/>
                      <w:sz w:val="20"/>
                      <w:szCs w:val="20"/>
                      <w:vertAlign w:val="subscript"/>
                    </w:rPr>
                    <w:t>3</w:t>
                  </w:r>
                  <w:r>
                    <w:rPr>
                      <w:rFonts w:ascii="Times New Roman" w:eastAsia="Times New Roman" w:hAnsi="Times New Roman"/>
                      <w:sz w:val="20"/>
                      <w:szCs w:val="20"/>
                    </w:rPr>
                    <w:t xml:space="preserve"> in SPEEK/HCO</w:t>
                  </w:r>
                  <w:r>
                    <w:rPr>
                      <w:rFonts w:ascii="Times New Roman" w:eastAsia="Times New Roman" w:hAnsi="Times New Roman"/>
                      <w:sz w:val="20"/>
                      <w:szCs w:val="20"/>
                      <w:vertAlign w:val="subscript"/>
                    </w:rPr>
                    <w:t>2</w:t>
                  </w:r>
                  <w:r>
                    <w:rPr>
                      <w:rFonts w:ascii="Times New Roman" w:eastAsia="Times New Roman" w:hAnsi="Times New Roman"/>
                      <w:sz w:val="20"/>
                      <w:szCs w:val="20"/>
                    </w:rPr>
                    <w:t>- aqueous medium via a free radical mechanism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MD ISLAM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safiquechem@yahoo.com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MD S. ISLAM</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and Bio-chemistry, Auburn University, Auburn, AL,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Illumination of aqueous systems containing sulfonated </w:t>
                  </w:r>
                  <w:proofErr w:type="gramStart"/>
                  <w:r>
                    <w:rPr>
                      <w:rFonts w:ascii="Times New Roman" w:eastAsia="Times New Roman" w:hAnsi="Times New Roman"/>
                      <w:sz w:val="20"/>
                      <w:szCs w:val="20"/>
                    </w:rPr>
                    <w:t>poly(</w:t>
                  </w:r>
                  <w:proofErr w:type="gramEnd"/>
                  <w:r>
                    <w:rPr>
                      <w:rFonts w:ascii="Times New Roman" w:eastAsia="Times New Roman" w:hAnsi="Times New Roman"/>
                      <w:sz w:val="20"/>
                      <w:szCs w:val="20"/>
                    </w:rPr>
                    <w:t xml:space="preserve">ether </w:t>
                  </w:r>
                  <w:proofErr w:type="spellStart"/>
                  <w:r>
                    <w:rPr>
                      <w:rFonts w:ascii="Times New Roman" w:eastAsia="Times New Roman" w:hAnsi="Times New Roman"/>
                      <w:sz w:val="20"/>
                      <w:szCs w:val="20"/>
                    </w:rPr>
                    <w:t>etherketone</w:t>
                  </w:r>
                  <w:proofErr w:type="spellEnd"/>
                  <w:r>
                    <w:rPr>
                      <w:rFonts w:ascii="Times New Roman" w:eastAsia="Times New Roman" w:hAnsi="Times New Roman"/>
                      <w:sz w:val="20"/>
                      <w:szCs w:val="20"/>
                    </w:rPr>
                    <w:t xml:space="preserve">), SPEEK, together with sodium </w:t>
                  </w:r>
                  <w:proofErr w:type="spellStart"/>
                  <w:r>
                    <w:rPr>
                      <w:rFonts w:ascii="Times New Roman" w:eastAsia="Times New Roman" w:hAnsi="Times New Roman"/>
                      <w:sz w:val="20"/>
                      <w:szCs w:val="20"/>
                    </w:rPr>
                    <w:t>formate</w:t>
                  </w:r>
                  <w:proofErr w:type="spellEnd"/>
                  <w:r>
                    <w:rPr>
                      <w:rFonts w:ascii="Times New Roman" w:eastAsia="Times New Roman" w:hAnsi="Times New Roman"/>
                      <w:sz w:val="20"/>
                      <w:szCs w:val="20"/>
                    </w:rPr>
                    <w:t xml:space="preserve"> have been found to effectively reduce chloroform to dichloromethane in the absence of air. The </w:t>
                  </w:r>
                  <w:proofErr w:type="spellStart"/>
                  <w:r>
                    <w:rPr>
                      <w:rFonts w:ascii="Times New Roman" w:eastAsia="Times New Roman" w:hAnsi="Times New Roman"/>
                      <w:sz w:val="20"/>
                      <w:szCs w:val="20"/>
                    </w:rPr>
                    <w:t>polyketone</w:t>
                  </w:r>
                  <w:proofErr w:type="spellEnd"/>
                  <w:r>
                    <w:rPr>
                      <w:rFonts w:ascii="Times New Roman" w:eastAsia="Times New Roman" w:hAnsi="Times New Roman"/>
                      <w:sz w:val="20"/>
                      <w:szCs w:val="20"/>
                    </w:rPr>
                    <w:t xml:space="preserve"> acted as a sensitizer whereas HCO</w:t>
                  </w:r>
                  <w:r>
                    <w:rPr>
                      <w:rFonts w:ascii="Times New Roman" w:eastAsia="Times New Roman" w:hAnsi="Times New Roman"/>
                      <w:sz w:val="20"/>
                      <w:szCs w:val="20"/>
                      <w:vertAlign w:val="subscript"/>
                    </w:rPr>
                    <w:t>2</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served as H-tom donor; the </w:t>
                  </w:r>
                  <w:proofErr w:type="spellStart"/>
                  <w:r>
                    <w:rPr>
                      <w:rFonts w:ascii="Times New Roman" w:eastAsia="Times New Roman" w:hAnsi="Times New Roman"/>
                      <w:sz w:val="20"/>
                      <w:szCs w:val="20"/>
                    </w:rPr>
                    <w:t>photoreduction</w:t>
                  </w:r>
                  <w:proofErr w:type="spellEnd"/>
                  <w:r>
                    <w:rPr>
                      <w:rFonts w:ascii="Times New Roman" w:eastAsia="Times New Roman" w:hAnsi="Times New Roman"/>
                      <w:sz w:val="20"/>
                      <w:szCs w:val="20"/>
                    </w:rPr>
                    <w:t xml:space="preserve"> process involves polymeric a–hydroxyl (SPEEK•) and CO</w:t>
                  </w:r>
                  <w:r>
                    <w:rPr>
                      <w:rFonts w:ascii="Times New Roman" w:eastAsia="Times New Roman" w:hAnsi="Times New Roman"/>
                      <w:sz w:val="20"/>
                      <w:szCs w:val="20"/>
                      <w:vertAlign w:val="subscript"/>
                    </w:rPr>
                    <w:t>2</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radicals. Formation of Cl</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w:t>
                  </w:r>
                  <w:proofErr w:type="gramStart"/>
                  <w:r>
                    <w:rPr>
                      <w:rFonts w:ascii="Times New Roman" w:eastAsia="Times New Roman" w:hAnsi="Times New Roman"/>
                      <w:sz w:val="20"/>
                      <w:szCs w:val="20"/>
                    </w:rPr>
                    <w:t>proceeded</w:t>
                  </w:r>
                  <w:proofErr w:type="gramEnd"/>
                  <w:r>
                    <w:rPr>
                      <w:rFonts w:ascii="Times New Roman" w:eastAsia="Times New Roman" w:hAnsi="Times New Roman"/>
                      <w:sz w:val="20"/>
                      <w:szCs w:val="20"/>
                    </w:rPr>
                    <w:t xml:space="preserve"> via a zero-order rate law for extended times after an initial short induction period. Reaction rates, </w:t>
                  </w:r>
                  <w:proofErr w:type="gramStart"/>
                  <w:r>
                    <w:rPr>
                      <w:rFonts w:ascii="Times New Roman" w:eastAsia="Times New Roman" w:hAnsi="Times New Roman"/>
                      <w:i/>
                      <w:iCs/>
                      <w:sz w:val="20"/>
                      <w:szCs w:val="20"/>
                    </w:rPr>
                    <w:t>r</w:t>
                  </w:r>
                  <w:r>
                    <w:rPr>
                      <w:rFonts w:ascii="Times New Roman" w:eastAsia="Times New Roman" w:hAnsi="Times New Roman"/>
                      <w:sz w:val="20"/>
                      <w:szCs w:val="20"/>
                    </w:rPr>
                    <w:t>(</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similar to those of systems free of O</w:t>
                  </w:r>
                  <w:r>
                    <w:rPr>
                      <w:rFonts w:ascii="Times New Roman" w:eastAsia="Times New Roman" w:hAnsi="Times New Roman"/>
                      <w:sz w:val="20"/>
                      <w:szCs w:val="20"/>
                      <w:vertAlign w:val="subscript"/>
                    </w:rPr>
                    <w:t>2</w:t>
                  </w:r>
                  <w:r>
                    <w:rPr>
                      <w:rFonts w:ascii="Times New Roman" w:eastAsia="Times New Roman" w:hAnsi="Times New Roman"/>
                      <w:sz w:val="20"/>
                      <w:szCs w:val="20"/>
                    </w:rPr>
                    <w:t xml:space="preserve"> were obtained via photolysis of solutions containing air, which exhibited much longer induction periods. For air-free solutions </w:t>
                  </w:r>
                  <w:proofErr w:type="gramStart"/>
                  <w:r>
                    <w:rPr>
                      <w:rFonts w:ascii="Times New Roman" w:eastAsia="Times New Roman" w:hAnsi="Times New Roman"/>
                      <w:i/>
                      <w:iCs/>
                      <w:sz w:val="20"/>
                      <w:szCs w:val="20"/>
                    </w:rPr>
                    <w:t>r</w:t>
                  </w:r>
                  <w:r>
                    <w:rPr>
                      <w:rFonts w:ascii="Times New Roman" w:eastAsia="Times New Roman" w:hAnsi="Times New Roman"/>
                      <w:sz w:val="20"/>
                      <w:szCs w:val="20"/>
                    </w:rPr>
                    <w:t>(</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increased slightly with light intensity (I</w:t>
                  </w:r>
                  <w:r>
                    <w:rPr>
                      <w:rFonts w:ascii="Times New Roman" w:eastAsia="Times New Roman" w:hAnsi="Times New Roman"/>
                      <w:sz w:val="20"/>
                      <w:szCs w:val="20"/>
                      <w:vertAlign w:val="subscript"/>
                    </w:rPr>
                    <w:t>0</w:t>
                  </w:r>
                  <w:r>
                    <w:rPr>
                      <w:rFonts w:ascii="Times New Roman" w:eastAsia="Times New Roman" w:hAnsi="Times New Roman"/>
                      <w:sz w:val="20"/>
                      <w:szCs w:val="20"/>
                    </w:rPr>
                    <w:t>) whereas the quantum yields of Cl</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generation, f(Cl</w:t>
                  </w:r>
                  <w:r>
                    <w:rPr>
                      <w:rFonts w:ascii="Times New Roman" w:eastAsia="Times New Roman" w:hAnsi="Times New Roman"/>
                      <w:sz w:val="20"/>
                      <w:szCs w:val="20"/>
                      <w:vertAlign w:val="superscript"/>
                    </w:rPr>
                    <w:t>-</w:t>
                  </w:r>
                  <w:r>
                    <w:rPr>
                      <w:rFonts w:ascii="Times New Roman" w:eastAsia="Times New Roman" w:hAnsi="Times New Roman"/>
                      <w:sz w:val="20"/>
                      <w:szCs w:val="20"/>
                    </w:rPr>
                    <w:t>), decreased with increasing I</w:t>
                  </w:r>
                  <w:r>
                    <w:rPr>
                      <w:rFonts w:ascii="Times New Roman" w:eastAsia="Times New Roman" w:hAnsi="Times New Roman"/>
                      <w:sz w:val="20"/>
                      <w:szCs w:val="20"/>
                      <w:vertAlign w:val="subscript"/>
                    </w:rPr>
                    <w:t>0</w:t>
                  </w:r>
                  <w:r>
                    <w:rPr>
                      <w:rFonts w:ascii="Times New Roman" w:eastAsia="Times New Roman" w:hAnsi="Times New Roman"/>
                      <w:sz w:val="20"/>
                      <w:szCs w:val="20"/>
                    </w:rPr>
                    <w:t xml:space="preserve">. Irradiation with solutions containing chloroform concentrations below the solubility limit in water yielded a first-order dependence of </w:t>
                  </w:r>
                  <w:proofErr w:type="gramStart"/>
                  <w:r>
                    <w:rPr>
                      <w:rFonts w:ascii="Times New Roman" w:eastAsia="Times New Roman" w:hAnsi="Times New Roman"/>
                      <w:i/>
                      <w:iCs/>
                      <w:sz w:val="20"/>
                      <w:szCs w:val="20"/>
                    </w:rPr>
                    <w:t>r</w:t>
                  </w:r>
                  <w:r>
                    <w:rPr>
                      <w:rFonts w:ascii="Times New Roman" w:eastAsia="Times New Roman" w:hAnsi="Times New Roman"/>
                      <w:sz w:val="20"/>
                      <w:szCs w:val="20"/>
                    </w:rPr>
                    <w:t>(</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on [CHCl</w:t>
                  </w:r>
                  <w:r>
                    <w:rPr>
                      <w:rFonts w:ascii="Times New Roman" w:eastAsia="Times New Roman" w:hAnsi="Times New Roman"/>
                      <w:sz w:val="20"/>
                      <w:szCs w:val="20"/>
                      <w:vertAlign w:val="subscript"/>
                    </w:rPr>
                    <w:t>3</w:t>
                  </w:r>
                  <w:r>
                    <w:rPr>
                      <w:rFonts w:ascii="Times New Roman" w:eastAsia="Times New Roman" w:hAnsi="Times New Roman"/>
                      <w:sz w:val="20"/>
                      <w:szCs w:val="20"/>
                    </w:rPr>
                    <w:t>]. At the solubility limit and for solutions containing excess CHCl</w:t>
                  </w:r>
                  <w:r>
                    <w:rPr>
                      <w:rFonts w:ascii="Times New Roman" w:eastAsia="Times New Roman" w:hAnsi="Times New Roman"/>
                      <w:sz w:val="20"/>
                      <w:szCs w:val="20"/>
                      <w:vertAlign w:val="subscript"/>
                    </w:rPr>
                    <w:t>3</w:t>
                  </w:r>
                  <w:r>
                    <w:rPr>
                      <w:rFonts w:ascii="Times New Roman" w:eastAsia="Times New Roman" w:hAnsi="Times New Roman"/>
                      <w:sz w:val="20"/>
                      <w:szCs w:val="20"/>
                    </w:rPr>
                    <w:t xml:space="preserve"> a higher and constant rate was determined. Experiments in which irradiation was periodically interrupted showed that post-irradiation formation of Cl</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took place. GC-MS analysis performed on illuminated solutions confirmed that CH</w:t>
                  </w:r>
                  <w:r>
                    <w:rPr>
                      <w:rFonts w:ascii="Times New Roman" w:eastAsia="Times New Roman" w:hAnsi="Times New Roman"/>
                      <w:sz w:val="20"/>
                      <w:szCs w:val="20"/>
                      <w:vertAlign w:val="subscript"/>
                    </w:rPr>
                    <w:t>2</w:t>
                  </w:r>
                  <w:r>
                    <w:rPr>
                      <w:rFonts w:ascii="Times New Roman" w:eastAsia="Times New Roman" w:hAnsi="Times New Roman"/>
                      <w:sz w:val="20"/>
                      <w:szCs w:val="20"/>
                    </w:rPr>
                    <w:t>Cl</w:t>
                  </w:r>
                  <w:r>
                    <w:rPr>
                      <w:rFonts w:ascii="Times New Roman" w:eastAsia="Times New Roman" w:hAnsi="Times New Roman"/>
                      <w:sz w:val="20"/>
                      <w:szCs w:val="20"/>
                      <w:vertAlign w:val="subscript"/>
                    </w:rPr>
                    <w:t>2</w:t>
                  </w:r>
                  <w:r>
                    <w:rPr>
                      <w:rFonts w:ascii="Times New Roman" w:eastAsia="Times New Roman" w:hAnsi="Times New Roman"/>
                      <w:sz w:val="20"/>
                      <w:szCs w:val="20"/>
                    </w:rPr>
                    <w:t xml:space="preserve"> was the main organic product but traces of C</w:t>
                  </w:r>
                  <w:r>
                    <w:rPr>
                      <w:rFonts w:ascii="Times New Roman" w:eastAsia="Times New Roman" w:hAnsi="Times New Roman"/>
                      <w:sz w:val="20"/>
                      <w:szCs w:val="20"/>
                      <w:vertAlign w:val="subscript"/>
                    </w:rPr>
                    <w:t>2</w:t>
                  </w:r>
                  <w:r>
                    <w:rPr>
                      <w:rFonts w:ascii="Times New Roman" w:eastAsia="Times New Roman" w:hAnsi="Times New Roman"/>
                      <w:sz w:val="20"/>
                      <w:szCs w:val="20"/>
                    </w:rPr>
                    <w:t>H</w:t>
                  </w:r>
                  <w:r>
                    <w:rPr>
                      <w:rFonts w:ascii="Times New Roman" w:eastAsia="Times New Roman" w:hAnsi="Times New Roman"/>
                      <w:sz w:val="20"/>
                      <w:szCs w:val="20"/>
                      <w:vertAlign w:val="subscript"/>
                    </w:rPr>
                    <w:t>2</w:t>
                  </w:r>
                  <w:r>
                    <w:rPr>
                      <w:rFonts w:ascii="Times New Roman" w:eastAsia="Times New Roman" w:hAnsi="Times New Roman"/>
                      <w:sz w:val="20"/>
                      <w:szCs w:val="20"/>
                    </w:rPr>
                    <w:t>Cl</w:t>
                  </w:r>
                  <w:r>
                    <w:rPr>
                      <w:rFonts w:ascii="Times New Roman" w:eastAsia="Times New Roman" w:hAnsi="Times New Roman"/>
                      <w:sz w:val="20"/>
                      <w:szCs w:val="20"/>
                      <w:vertAlign w:val="subscript"/>
                    </w:rPr>
                    <w:t>4</w:t>
                  </w:r>
                  <w:r>
                    <w:rPr>
                      <w:rFonts w:ascii="Times New Roman" w:eastAsia="Times New Roman" w:hAnsi="Times New Roman"/>
                      <w:sz w:val="20"/>
                      <w:szCs w:val="20"/>
                    </w:rPr>
                    <w:t xml:space="preserve"> were also detected. These results together with the resulting empirical rate law of </w:t>
                  </w:r>
                  <w:proofErr w:type="gramStart"/>
                  <w:r>
                    <w:rPr>
                      <w:rFonts w:ascii="Times New Roman" w:eastAsia="Times New Roman" w:hAnsi="Times New Roman"/>
                      <w:i/>
                      <w:iCs/>
                      <w:sz w:val="20"/>
                      <w:szCs w:val="20"/>
                    </w:rPr>
                    <w:t>r</w:t>
                  </w:r>
                  <w:r>
                    <w:rPr>
                      <w:rFonts w:ascii="Times New Roman" w:eastAsia="Times New Roman" w:hAnsi="Times New Roman"/>
                      <w:sz w:val="20"/>
                      <w:szCs w:val="20"/>
                    </w:rPr>
                    <w:t>(</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 </w:t>
                  </w:r>
                  <w:proofErr w:type="spellStart"/>
                  <w:r>
                    <w:rPr>
                      <w:rFonts w:ascii="Times New Roman" w:eastAsia="Times New Roman" w:hAnsi="Times New Roman"/>
                      <w:sz w:val="20"/>
                      <w:szCs w:val="20"/>
                    </w:rPr>
                    <w:t>k</w:t>
                  </w:r>
                  <w:r>
                    <w:rPr>
                      <w:rFonts w:ascii="Times New Roman" w:eastAsia="Times New Roman" w:hAnsi="Times New Roman"/>
                      <w:sz w:val="20"/>
                      <w:szCs w:val="20"/>
                      <w:vertAlign w:val="subscript"/>
                    </w:rPr>
                    <w:t>obs</w:t>
                  </w:r>
                  <w:proofErr w:type="spellEnd"/>
                  <w:r>
                    <w:rPr>
                      <w:rFonts w:ascii="Times New Roman" w:eastAsia="Times New Roman" w:hAnsi="Times New Roman"/>
                      <w:sz w:val="20"/>
                      <w:szCs w:val="20"/>
                    </w:rPr>
                    <w:t xml:space="preserve"> [CHCl</w:t>
                  </w:r>
                  <w:r>
                    <w:rPr>
                      <w:rFonts w:ascii="Times New Roman" w:eastAsia="Times New Roman" w:hAnsi="Times New Roman"/>
                      <w:sz w:val="20"/>
                      <w:szCs w:val="20"/>
                      <w:vertAlign w:val="subscript"/>
                    </w:rPr>
                    <w:t>3</w:t>
                  </w:r>
                  <w:r>
                    <w:rPr>
                      <w:rFonts w:ascii="Times New Roman" w:eastAsia="Times New Roman" w:hAnsi="Times New Roman"/>
                      <w:sz w:val="20"/>
                      <w:szCs w:val="20"/>
                    </w:rPr>
                    <w:t>] I</w:t>
                  </w:r>
                  <w:r>
                    <w:rPr>
                      <w:rFonts w:ascii="Times New Roman" w:eastAsia="Times New Roman" w:hAnsi="Times New Roman"/>
                      <w:sz w:val="20"/>
                      <w:szCs w:val="20"/>
                      <w:vertAlign w:val="subscript"/>
                    </w:rPr>
                    <w:t>0</w:t>
                  </w:r>
                  <w:r>
                    <w:rPr>
                      <w:rFonts w:ascii="Times New Roman" w:eastAsia="Times New Roman" w:hAnsi="Times New Roman"/>
                      <w:sz w:val="20"/>
                      <w:szCs w:val="20"/>
                      <w:vertAlign w:val="superscript"/>
                    </w:rPr>
                    <w:t>0.5</w:t>
                  </w:r>
                  <w:r>
                    <w:rPr>
                      <w:rFonts w:ascii="Times New Roman" w:eastAsia="Times New Roman" w:hAnsi="Times New Roman"/>
                      <w:sz w:val="20"/>
                      <w:szCs w:val="20"/>
                    </w:rPr>
                    <w:t xml:space="preserve"> indicate that the SPEEK-sensitized </w:t>
                  </w:r>
                  <w:proofErr w:type="spellStart"/>
                  <w:r>
                    <w:rPr>
                      <w:rFonts w:ascii="Times New Roman" w:eastAsia="Times New Roman" w:hAnsi="Times New Roman"/>
                      <w:sz w:val="20"/>
                      <w:szCs w:val="20"/>
                    </w:rPr>
                    <w:t>photoreduction</w:t>
                  </w:r>
                  <w:proofErr w:type="spellEnd"/>
                  <w:r>
                    <w:rPr>
                      <w:rFonts w:ascii="Times New Roman" w:eastAsia="Times New Roman" w:hAnsi="Times New Roman"/>
                      <w:sz w:val="20"/>
                      <w:szCs w:val="20"/>
                    </w:rPr>
                    <w:t xml:space="preserve"> of CHCl</w:t>
                  </w:r>
                  <w:r>
                    <w:rPr>
                      <w:rFonts w:ascii="Times New Roman" w:eastAsia="Times New Roman" w:hAnsi="Times New Roman"/>
                      <w:sz w:val="20"/>
                      <w:szCs w:val="20"/>
                      <w:vertAlign w:val="subscript"/>
                    </w:rPr>
                    <w:t>3</w:t>
                  </w:r>
                  <w:r>
                    <w:rPr>
                      <w:rFonts w:ascii="Times New Roman" w:eastAsia="Times New Roman" w:hAnsi="Times New Roman"/>
                      <w:sz w:val="20"/>
                      <w:szCs w:val="20"/>
                    </w:rPr>
                    <w:t xml:space="preserve"> took place via a chain process involving radical-radical termination steps. Highest values of </w:t>
                  </w:r>
                  <w:proofErr w:type="gramStart"/>
                  <w:r>
                    <w:rPr>
                      <w:rFonts w:ascii="Times New Roman" w:eastAsia="Times New Roman" w:hAnsi="Times New Roman"/>
                      <w:sz w:val="20"/>
                      <w:szCs w:val="20"/>
                    </w:rPr>
                    <w:t>f(</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xml:space="preserve">) were determined at 6 ≤ pH ≤ 8, coinciding with the range where SPEEK• is most efficiently </w:t>
                  </w:r>
                  <w:proofErr w:type="spellStart"/>
                  <w:r>
                    <w:rPr>
                      <w:rFonts w:ascii="Times New Roman" w:eastAsia="Times New Roman" w:hAnsi="Times New Roman"/>
                      <w:sz w:val="20"/>
                      <w:szCs w:val="20"/>
                    </w:rPr>
                    <w:t>photogenerated</w:t>
                  </w:r>
                  <w:proofErr w:type="spellEnd"/>
                  <w:r>
                    <w:rPr>
                      <w:rFonts w:ascii="Times New Roman" w:eastAsia="Times New Roman" w:hAnsi="Times New Roman"/>
                      <w:sz w:val="20"/>
                      <w:szCs w:val="20"/>
                    </w:rPr>
                    <w:t xml:space="preserve">. However, a sharp maximum of </w:t>
                  </w:r>
                  <w:proofErr w:type="gramStart"/>
                  <w:r>
                    <w:rPr>
                      <w:rFonts w:ascii="Times New Roman" w:eastAsia="Times New Roman" w:hAnsi="Times New Roman"/>
                      <w:sz w:val="20"/>
                      <w:szCs w:val="20"/>
                    </w:rPr>
                    <w:t>f(</w:t>
                  </w:r>
                  <w:proofErr w:type="gramEnd"/>
                  <w:r>
                    <w:rPr>
                      <w:rFonts w:ascii="Times New Roman" w:eastAsia="Times New Roman" w:hAnsi="Times New Roman"/>
                      <w:sz w:val="20"/>
                      <w:szCs w:val="20"/>
                    </w:rPr>
                    <w:t>Cl</w:t>
                  </w:r>
                  <w:r>
                    <w:rPr>
                      <w:rFonts w:ascii="Times New Roman" w:eastAsia="Times New Roman" w:hAnsi="Times New Roman"/>
                      <w:sz w:val="20"/>
                      <w:szCs w:val="20"/>
                      <w:vertAlign w:val="superscript"/>
                    </w:rPr>
                    <w:t>-</w:t>
                  </w:r>
                  <w:r>
                    <w:rPr>
                      <w:rFonts w:ascii="Times New Roman" w:eastAsia="Times New Roman" w:hAnsi="Times New Roman"/>
                      <w:sz w:val="20"/>
                      <w:szCs w:val="20"/>
                    </w:rPr>
                    <w:t>) was determined at a pH of 7.3; DSC results suggest that aggregation of the polyelectrolyte under such conditions may influence the photoreaction.</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0"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2354773</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Reaction paths and path profiles: A new perspective for understanding reaction mechanism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proofErr w:type="spellStart"/>
                  <w:r>
                    <w:rPr>
                      <w:rFonts w:ascii="Times New Roman" w:eastAsia="Times New Roman" w:hAnsi="Times New Roman"/>
                      <w:sz w:val="20"/>
                      <w:szCs w:val="20"/>
                    </w:rPr>
                    <w:t>Bijoy</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Dey</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deybijoy11@gmail.com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proofErr w:type="spellStart"/>
                  <w:r>
                    <w:rPr>
                      <w:rFonts w:ascii="Times New Roman" w:eastAsia="Times New Roman" w:hAnsi="Times New Roman"/>
                      <w:sz w:val="20"/>
                      <w:szCs w:val="20"/>
                    </w:rPr>
                    <w:t>Bijoy</w:t>
                  </w:r>
                  <w:proofErr w:type="spellEnd"/>
                  <w:r>
                    <w:rPr>
                      <w:rFonts w:ascii="Times New Roman" w:eastAsia="Times New Roman" w:hAnsi="Times New Roman"/>
                      <w:sz w:val="20"/>
                      <w:szCs w:val="20"/>
                    </w:rPr>
                    <w:t xml:space="preserve"> K. Dey</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w:t>
                  </w:r>
                  <w:proofErr w:type="spellStart"/>
                  <w:r>
                    <w:rPr>
                      <w:rFonts w:ascii="Times New Roman" w:eastAsia="Times New Roman" w:hAnsi="Times New Roman"/>
                      <w:sz w:val="20"/>
                      <w:szCs w:val="20"/>
                    </w:rPr>
                    <w:t>Claflin</w:t>
                  </w:r>
                  <w:proofErr w:type="spellEnd"/>
                  <w:r>
                    <w:rPr>
                      <w:rFonts w:ascii="Times New Roman" w:eastAsia="Times New Roman" w:hAnsi="Times New Roman"/>
                      <w:sz w:val="20"/>
                      <w:szCs w:val="20"/>
                    </w:rPr>
                    <w:t xml:space="preserve"> University, Orangeburg, SC,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Chemical reaction paths, otherwise, called reaction mechanisms, provide a detailed atomistic description of a reaction from reactants to products. However, the calculation of such paths presents a formidable task despite the existence of several theoretical methods. Recently we have proposed a classical action-wave based formulation for calculating the reaction paths, where we have adapted a fast marching algorithm to solve the Hamilton-Jacobi equation. This method has the advantage that (</w:t>
                  </w:r>
                  <w:proofErr w:type="spellStart"/>
                  <w:r>
                    <w:rPr>
                      <w:rFonts w:ascii="Times New Roman" w:eastAsia="Times New Roman" w:hAnsi="Times New Roman"/>
                      <w:sz w:val="20"/>
                      <w:szCs w:val="20"/>
                    </w:rPr>
                    <w:t>i</w:t>
                  </w:r>
                  <w:proofErr w:type="spellEnd"/>
                  <w:r>
                    <w:rPr>
                      <w:rFonts w:ascii="Times New Roman" w:eastAsia="Times New Roman" w:hAnsi="Times New Roman"/>
                      <w:sz w:val="20"/>
                      <w:szCs w:val="20"/>
                    </w:rPr>
                    <w:t xml:space="preserve">) </w:t>
                  </w:r>
                  <w:r>
                    <w:rPr>
                      <w:rFonts w:ascii="Times New Roman" w:eastAsia="Times New Roman" w:hAnsi="Times New Roman"/>
                      <w:i/>
                      <w:iCs/>
                      <w:sz w:val="20"/>
                      <w:szCs w:val="20"/>
                    </w:rPr>
                    <w:t>a priori</w:t>
                  </w:r>
                  <w:r>
                    <w:rPr>
                      <w:rFonts w:ascii="Times New Roman" w:eastAsia="Times New Roman" w:hAnsi="Times New Roman"/>
                      <w:sz w:val="20"/>
                      <w:szCs w:val="20"/>
                    </w:rPr>
                    <w:t xml:space="preserve"> knowledge of a transition state is not required, (ii) the gradient or hessian of the potential are not required and (iii) one-single run with the knowledge of only the reactant state calculates the entire path of the reactions including that of a multi-step reaction. This advantageous feature of the method has allowed us to further explore this method and calculate the paths of a few complex reactions, such as the conformational change of Alanine Dipeptide and the bifurcation reaction of </w:t>
                  </w:r>
                  <w:proofErr w:type="spellStart"/>
                  <w:r>
                    <w:rPr>
                      <w:rFonts w:ascii="Times New Roman" w:eastAsia="Times New Roman" w:hAnsi="Times New Roman"/>
                      <w:sz w:val="20"/>
                      <w:szCs w:val="20"/>
                    </w:rPr>
                    <w:t>Methoxy</w:t>
                  </w:r>
                  <w:proofErr w:type="spellEnd"/>
                  <w:r>
                    <w:rPr>
                      <w:rFonts w:ascii="Times New Roman" w:eastAsia="Times New Roman" w:hAnsi="Times New Roman"/>
                      <w:sz w:val="20"/>
                      <w:szCs w:val="20"/>
                    </w:rPr>
                    <w:t xml:space="preserve"> Radical. We have computed the path profiles, especially, the reaction path energy (RPE) and reaction path force (RPF) of these reactions to understand the traditional energy-based formulation of reaction dynamics versus the force-based formulation of reaction dynamics. We will discuss our findings on the force-based formulation of reaction dynamics and see what new knowledge can be gained.</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1"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2357140</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Method for determining the enthalpy of reaction for metal oxalates using DSC</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Thomas Devore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devoretc@jmu.edu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Thomas C. Devore</w:t>
                  </w:r>
                  <w:r>
                    <w:rPr>
                      <w:rFonts w:ascii="Times New Roman" w:eastAsia="Times New Roman" w:hAnsi="Times New Roman"/>
                      <w:sz w:val="20"/>
                      <w:szCs w:val="20"/>
                      <w:vertAlign w:val="superscript"/>
                    </w:rPr>
                    <w:t>1</w:t>
                  </w:r>
                  <w:r>
                    <w:rPr>
                      <w:rFonts w:ascii="Times New Roman" w:eastAsia="Times New Roman" w:hAnsi="Times New Roman"/>
                      <w:sz w:val="20"/>
                      <w:szCs w:val="20"/>
                    </w:rPr>
                    <w:t>, Rafael Snell-Feikema</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w:t>
                  </w:r>
                  <w:proofErr w:type="spellStart"/>
                  <w:r>
                    <w:rPr>
                      <w:rFonts w:ascii="Times New Roman" w:eastAsia="Times New Roman" w:hAnsi="Times New Roman"/>
                      <w:sz w:val="20"/>
                      <w:szCs w:val="20"/>
                    </w:rPr>
                    <w:t>Dept</w:t>
                  </w:r>
                  <w:proofErr w:type="spellEnd"/>
                  <w:r>
                    <w:rPr>
                      <w:rFonts w:ascii="Times New Roman" w:eastAsia="Times New Roman" w:hAnsi="Times New Roman"/>
                      <w:sz w:val="20"/>
                      <w:szCs w:val="20"/>
                    </w:rPr>
                    <w:t xml:space="preserve"> MSC 4501, James Madison </w:t>
                  </w:r>
                  <w:proofErr w:type="spellStart"/>
                  <w:r>
                    <w:rPr>
                      <w:rFonts w:ascii="Times New Roman" w:eastAsia="Times New Roman" w:hAnsi="Times New Roman"/>
                      <w:sz w:val="20"/>
                      <w:szCs w:val="20"/>
                    </w:rPr>
                    <w:t>Univ</w:t>
                  </w:r>
                  <w:proofErr w:type="spellEnd"/>
                  <w:r>
                    <w:rPr>
                      <w:rFonts w:ascii="Times New Roman" w:eastAsia="Times New Roman" w:hAnsi="Times New Roman"/>
                      <w:sz w:val="20"/>
                      <w:szCs w:val="20"/>
                    </w:rPr>
                    <w:t xml:space="preserve">, Harrisonburg, VA,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An accurate set of chemical reactions must be determined to accurately determine the enthalpy of reaction. The thermal decomposition of metal oxalates is complicated by the possibility that secondary reactions such as the reaction between the primary products (metal oxide and CO) can occur complicating the analysis or the metal oxide catalyzed disproportionation of CO to produce CO</w:t>
                  </w:r>
                  <w:r>
                    <w:rPr>
                      <w:rFonts w:ascii="Times New Roman" w:eastAsia="Times New Roman" w:hAnsi="Times New Roman"/>
                      <w:sz w:val="20"/>
                      <w:szCs w:val="20"/>
                      <w:vertAlign w:val="subscript"/>
                    </w:rPr>
                    <w:t>2</w:t>
                  </w:r>
                  <w:r>
                    <w:rPr>
                      <w:rFonts w:ascii="Times New Roman" w:eastAsia="Times New Roman" w:hAnsi="Times New Roman"/>
                      <w:sz w:val="20"/>
                      <w:szCs w:val="20"/>
                    </w:rPr>
                    <w:t xml:space="preserve"> and C makes the determination of a precise set of chemical reactions actually occurring difficult to determine in minimal reactive environments. Evidence is presented that accurate enthalpies of reaction can be determined using slow scans in an oxidizing atmospheres if a flameless combustion catalyst (</w:t>
                  </w:r>
                  <w:proofErr w:type="spellStart"/>
                  <w:r>
                    <w:rPr>
                      <w:rFonts w:ascii="Times New Roman" w:eastAsia="Times New Roman" w:hAnsi="Times New Roman"/>
                      <w:sz w:val="20"/>
                      <w:szCs w:val="20"/>
                    </w:rPr>
                    <w:t>CuO</w:t>
                  </w:r>
                  <w:proofErr w:type="spellEnd"/>
                  <w:r>
                    <w:rPr>
                      <w:rFonts w:ascii="Times New Roman" w:eastAsia="Times New Roman" w:hAnsi="Times New Roman"/>
                      <w:sz w:val="20"/>
                      <w:szCs w:val="20"/>
                    </w:rPr>
                    <w:t xml:space="preserve"> was used here) is added to the DSC pan. Results obtained for the oxalates of </w:t>
                  </w:r>
                  <w:proofErr w:type="spellStart"/>
                  <w:r>
                    <w:rPr>
                      <w:rFonts w:ascii="Times New Roman" w:eastAsia="Times New Roman" w:hAnsi="Times New Roman"/>
                      <w:sz w:val="20"/>
                      <w:szCs w:val="20"/>
                    </w:rPr>
                    <w:t>Mn</w:t>
                  </w:r>
                  <w:proofErr w:type="spellEnd"/>
                  <w:r>
                    <w:rPr>
                      <w:rFonts w:ascii="Times New Roman" w:eastAsia="Times New Roman" w:hAnsi="Times New Roman"/>
                      <w:sz w:val="20"/>
                      <w:szCs w:val="20"/>
                    </w:rPr>
                    <w:t>, Fe, Co, Ni, Cu, and Zn agree within a few percent of the better values reported previously.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2"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2357150</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Coupling DFT calculations with experiment in the physical chemistry laboratory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Thomas Devore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devoretc@jmu.edu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Thomas C. Devore</w:t>
                  </w:r>
                  <w:r>
                    <w:rPr>
                      <w:rFonts w:ascii="Times New Roman" w:eastAsia="Times New Roman" w:hAnsi="Times New Roman"/>
                      <w:sz w:val="20"/>
                      <w:szCs w:val="20"/>
                      <w:vertAlign w:val="superscript"/>
                    </w:rPr>
                    <w:t>1</w:t>
                  </w:r>
                  <w:r>
                    <w:rPr>
                      <w:rFonts w:ascii="Times New Roman" w:eastAsia="Times New Roman" w:hAnsi="Times New Roman"/>
                      <w:sz w:val="20"/>
                      <w:szCs w:val="20"/>
                    </w:rPr>
                    <w:t>, Arlie Bagley</w:t>
                  </w:r>
                  <w:r>
                    <w:rPr>
                      <w:rFonts w:ascii="Times New Roman" w:eastAsia="Times New Roman" w:hAnsi="Times New Roman"/>
                      <w:sz w:val="20"/>
                      <w:szCs w:val="20"/>
                      <w:vertAlign w:val="superscript"/>
                    </w:rPr>
                    <w:t>1</w:t>
                  </w:r>
                  <w:r>
                    <w:rPr>
                      <w:rFonts w:ascii="Times New Roman" w:eastAsia="Times New Roman" w:hAnsi="Times New Roman"/>
                      <w:sz w:val="20"/>
                      <w:szCs w:val="20"/>
                    </w:rPr>
                    <w:t>, Jun Yin</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w:t>
                  </w:r>
                  <w:proofErr w:type="spellStart"/>
                  <w:r>
                    <w:rPr>
                      <w:rFonts w:ascii="Times New Roman" w:eastAsia="Times New Roman" w:hAnsi="Times New Roman"/>
                      <w:sz w:val="20"/>
                      <w:szCs w:val="20"/>
                    </w:rPr>
                    <w:t>Dept</w:t>
                  </w:r>
                  <w:proofErr w:type="spellEnd"/>
                  <w:r>
                    <w:rPr>
                      <w:rFonts w:ascii="Times New Roman" w:eastAsia="Times New Roman" w:hAnsi="Times New Roman"/>
                      <w:sz w:val="20"/>
                      <w:szCs w:val="20"/>
                    </w:rPr>
                    <w:t xml:space="preserve"> MSC 4501, James Madison </w:t>
                  </w:r>
                  <w:proofErr w:type="spellStart"/>
                  <w:r>
                    <w:rPr>
                      <w:rFonts w:ascii="Times New Roman" w:eastAsia="Times New Roman" w:hAnsi="Times New Roman"/>
                      <w:sz w:val="20"/>
                      <w:szCs w:val="20"/>
                    </w:rPr>
                    <w:t>Univ</w:t>
                  </w:r>
                  <w:proofErr w:type="spellEnd"/>
                  <w:r>
                    <w:rPr>
                      <w:rFonts w:ascii="Times New Roman" w:eastAsia="Times New Roman" w:hAnsi="Times New Roman"/>
                      <w:sz w:val="20"/>
                      <w:szCs w:val="20"/>
                    </w:rPr>
                    <w:t xml:space="preserve">, Harrisonburg, VA,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The increasing availability of relatively low cost research quality quantum mechanical software packages that will run on a personal computer enables the inclusion of these calculations into many laboratory exercises done in the P-</w:t>
                  </w:r>
                  <w:proofErr w:type="spellStart"/>
                  <w:r>
                    <w:rPr>
                      <w:rFonts w:ascii="Times New Roman" w:eastAsia="Times New Roman" w:hAnsi="Times New Roman"/>
                      <w:sz w:val="20"/>
                      <w:szCs w:val="20"/>
                    </w:rPr>
                    <w:t>chem</w:t>
                  </w:r>
                  <w:proofErr w:type="spellEnd"/>
                  <w:r>
                    <w:rPr>
                      <w:rFonts w:ascii="Times New Roman" w:eastAsia="Times New Roman" w:hAnsi="Times New Roman"/>
                      <w:sz w:val="20"/>
                      <w:szCs w:val="20"/>
                    </w:rPr>
                    <w:t xml:space="preserve"> lab. There are three ways to incorporate these calculations. The first is to add them on to an existing exercise. The well-known </w:t>
                  </w:r>
                  <w:proofErr w:type="spellStart"/>
                  <w:r>
                    <w:rPr>
                      <w:rFonts w:ascii="Times New Roman" w:eastAsia="Times New Roman" w:hAnsi="Times New Roman"/>
                      <w:sz w:val="20"/>
                      <w:szCs w:val="20"/>
                    </w:rPr>
                    <w:t>HCl-DCl</w:t>
                  </w:r>
                  <w:proofErr w:type="spellEnd"/>
                  <w:r>
                    <w:rPr>
                      <w:rFonts w:ascii="Times New Roman" w:eastAsia="Times New Roman" w:hAnsi="Times New Roman"/>
                      <w:sz w:val="20"/>
                      <w:szCs w:val="20"/>
                    </w:rPr>
                    <w:t xml:space="preserve"> experiment will be used to illustrate how this can be done. The second way is to integrate them into the experiment. Several exercises based on the NMR of methanol vapor will be used to illustrate this. The final way is to have calculations be the exercise. A discovery exercise for the </w:t>
                  </w:r>
                  <w:proofErr w:type="spellStart"/>
                  <w:r>
                    <w:rPr>
                      <w:rFonts w:ascii="Times New Roman" w:eastAsia="Times New Roman" w:hAnsi="Times New Roman"/>
                      <w:sz w:val="20"/>
                      <w:szCs w:val="20"/>
                    </w:rPr>
                    <w:t>Aufbau</w:t>
                  </w:r>
                  <w:proofErr w:type="spellEnd"/>
                  <w:r>
                    <w:rPr>
                      <w:rFonts w:ascii="Times New Roman" w:eastAsia="Times New Roman" w:hAnsi="Times New Roman"/>
                      <w:sz w:val="20"/>
                      <w:szCs w:val="20"/>
                    </w:rPr>
                    <w:t xml:space="preserve"> Principle and </w:t>
                  </w:r>
                  <w:proofErr w:type="spellStart"/>
                  <w:r>
                    <w:rPr>
                      <w:rFonts w:ascii="Times New Roman" w:eastAsia="Times New Roman" w:hAnsi="Times New Roman"/>
                      <w:sz w:val="20"/>
                      <w:szCs w:val="20"/>
                    </w:rPr>
                    <w:t>Hund’s</w:t>
                  </w:r>
                  <w:proofErr w:type="spellEnd"/>
                  <w:r>
                    <w:rPr>
                      <w:rFonts w:ascii="Times New Roman" w:eastAsia="Times New Roman" w:hAnsi="Times New Roman"/>
                      <w:sz w:val="20"/>
                      <w:szCs w:val="20"/>
                    </w:rPr>
                    <w:t xml:space="preserve"> Rule will be used to illustrate this approach.</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3"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2358332</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Synchrotron based infrared vibrational-rotational spectroscopic study of isobutylene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Scott Reeve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sreeve@astate.edu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Scott W. Reeve</w:t>
                  </w:r>
                  <w:r>
                    <w:rPr>
                      <w:rFonts w:ascii="Times New Roman" w:eastAsia="Times New Roman" w:hAnsi="Times New Roman"/>
                      <w:sz w:val="20"/>
                      <w:szCs w:val="20"/>
                      <w:vertAlign w:val="superscript"/>
                    </w:rPr>
                    <w:t>1</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Trocia</w:t>
                  </w:r>
                  <w:proofErr w:type="spellEnd"/>
                  <w:r>
                    <w:rPr>
                      <w:rFonts w:ascii="Times New Roman" w:eastAsia="Times New Roman" w:hAnsi="Times New Roman"/>
                      <w:sz w:val="20"/>
                      <w:szCs w:val="20"/>
                    </w:rPr>
                    <w:t xml:space="preserve"> N. Clasp</w:t>
                  </w:r>
                  <w:r>
                    <w:rPr>
                      <w:rFonts w:ascii="Times New Roman" w:eastAsia="Times New Roman" w:hAnsi="Times New Roman"/>
                      <w:sz w:val="20"/>
                      <w:szCs w:val="20"/>
                      <w:vertAlign w:val="superscript"/>
                    </w:rPr>
                    <w:t>2</w:t>
                  </w:r>
                  <w:r>
                    <w:rPr>
                      <w:rFonts w:ascii="Times New Roman" w:eastAsia="Times New Roman" w:hAnsi="Times New Roman"/>
                      <w:sz w:val="20"/>
                      <w:szCs w:val="20"/>
                    </w:rPr>
                    <w:t>, Brant Billinghurst</w:t>
                  </w:r>
                  <w:r>
                    <w:rPr>
                      <w:rFonts w:ascii="Times New Roman" w:eastAsia="Times New Roman" w:hAnsi="Times New Roman"/>
                      <w:sz w:val="20"/>
                      <w:szCs w:val="20"/>
                      <w:vertAlign w:val="superscript"/>
                    </w:rPr>
                    <w:t>3</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w:t>
                  </w:r>
                  <w:proofErr w:type="spellStart"/>
                  <w:r>
                    <w:rPr>
                      <w:rFonts w:ascii="Times New Roman" w:eastAsia="Times New Roman" w:hAnsi="Times New Roman"/>
                      <w:sz w:val="20"/>
                      <w:szCs w:val="20"/>
                    </w:rPr>
                    <w:t>Dept</w:t>
                  </w:r>
                  <w:proofErr w:type="spellEnd"/>
                  <w:r>
                    <w:rPr>
                      <w:rFonts w:ascii="Times New Roman" w:eastAsia="Times New Roman" w:hAnsi="Times New Roman"/>
                      <w:sz w:val="20"/>
                      <w:szCs w:val="20"/>
                    </w:rPr>
                    <w:t xml:space="preserve"> of Chemistry and Physics, Arkansas State U, State University, AR, United States. </w:t>
                  </w:r>
                  <w:r>
                    <w:rPr>
                      <w:rFonts w:ascii="Times New Roman" w:eastAsia="Times New Roman" w:hAnsi="Times New Roman"/>
                      <w:sz w:val="20"/>
                      <w:szCs w:val="20"/>
                    </w:rPr>
                    <w:br/>
                    <w:t xml:space="preserve">2. Medical Physics, US ARMY MEDCOM WBAMC, Ft Bliss, TX, United States. </w:t>
                  </w:r>
                  <w:r>
                    <w:rPr>
                      <w:rFonts w:ascii="Times New Roman" w:eastAsia="Times New Roman" w:hAnsi="Times New Roman"/>
                      <w:sz w:val="20"/>
                      <w:szCs w:val="20"/>
                    </w:rPr>
                    <w:br/>
                    <w:t xml:space="preserve">3. Canadian Light Source Facility, University of Saskatchewan, Saskatoon, SK, Canada.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Rotational structure in the n</w:t>
                  </w:r>
                  <w:r>
                    <w:rPr>
                      <w:rFonts w:ascii="Times New Roman" w:eastAsia="Times New Roman" w:hAnsi="Times New Roman"/>
                      <w:sz w:val="20"/>
                      <w:szCs w:val="20"/>
                      <w:vertAlign w:val="subscript"/>
                    </w:rPr>
                    <w:t>28</w:t>
                  </w:r>
                  <w:r>
                    <w:rPr>
                      <w:rFonts w:ascii="Times New Roman" w:eastAsia="Times New Roman" w:hAnsi="Times New Roman"/>
                      <w:sz w:val="20"/>
                      <w:szCs w:val="20"/>
                    </w:rPr>
                    <w:t xml:space="preserve"> fundamental band of isobutylene has been examined at room temperature with synchrotron radiation at the University of Saskatchewan Canadian Light Source Facility. All of the measurements for this band were collected at a spectral resolution of 0.0009 cm</w:t>
                  </w:r>
                  <w:r>
                    <w:rPr>
                      <w:rFonts w:ascii="Times New Roman" w:eastAsia="Times New Roman" w:hAnsi="Times New Roman"/>
                      <w:sz w:val="20"/>
                      <w:szCs w:val="20"/>
                      <w:vertAlign w:val="superscript"/>
                    </w:rPr>
                    <w:t>-1</w:t>
                  </w:r>
                  <w:r>
                    <w:rPr>
                      <w:rFonts w:ascii="Times New Roman" w:eastAsia="Times New Roman" w:hAnsi="Times New Roman"/>
                      <w:sz w:val="20"/>
                      <w:szCs w:val="20"/>
                    </w:rPr>
                    <w:t xml:space="preserve">. At this level of spectral both fundamental </w:t>
                  </w:r>
                  <w:proofErr w:type="spellStart"/>
                  <w:r>
                    <w:rPr>
                      <w:rFonts w:ascii="Times New Roman" w:eastAsia="Times New Roman" w:hAnsi="Times New Roman"/>
                      <w:sz w:val="20"/>
                      <w:szCs w:val="20"/>
                    </w:rPr>
                    <w:t>ro</w:t>
                  </w:r>
                  <w:proofErr w:type="spellEnd"/>
                  <w:r>
                    <w:rPr>
                      <w:rFonts w:ascii="Times New Roman" w:eastAsia="Times New Roman" w:hAnsi="Times New Roman"/>
                      <w:sz w:val="20"/>
                      <w:szCs w:val="20"/>
                    </w:rPr>
                    <w:t>-vibrational structure as well as transitions associated with internal rotational/torsional motions could be readily observed. Although the molecule is classified as an asymmetric top, the rotational structure of the band appears to possess a very regular pattern. In this talk, we will present a set of preliminary set of spectral assignments and molecular constants for this fundamental band.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4"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2360001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 xml:space="preserve">Diffusion of Benzene and </w:t>
                  </w:r>
                  <w:proofErr w:type="spellStart"/>
                  <w:r>
                    <w:rPr>
                      <w:rFonts w:ascii="Times New Roman" w:eastAsia="Times New Roman" w:hAnsi="Times New Roman"/>
                      <w:sz w:val="20"/>
                      <w:szCs w:val="20"/>
                    </w:rPr>
                    <w:t>Alkylbenzenes</w:t>
                  </w:r>
                  <w:proofErr w:type="spellEnd"/>
                  <w:r>
                    <w:rPr>
                      <w:rFonts w:ascii="Times New Roman" w:eastAsia="Times New Roman" w:hAnsi="Times New Roman"/>
                      <w:sz w:val="20"/>
                      <w:szCs w:val="20"/>
                    </w:rPr>
                    <w:t xml:space="preserve"> in </w:t>
                  </w:r>
                  <w:r>
                    <w:rPr>
                      <w:rFonts w:ascii="Times New Roman" w:eastAsia="Times New Roman" w:hAnsi="Times New Roman"/>
                      <w:i/>
                      <w:iCs/>
                      <w:sz w:val="20"/>
                      <w:szCs w:val="20"/>
                    </w:rPr>
                    <w:t>n</w:t>
                  </w:r>
                  <w:r>
                    <w:rPr>
                      <w:rFonts w:ascii="Times New Roman" w:eastAsia="Times New Roman" w:hAnsi="Times New Roman"/>
                      <w:sz w:val="20"/>
                      <w:szCs w:val="20"/>
                    </w:rPr>
                    <w:t>-Alkanes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 xml:space="preserve">Bruce </w:t>
                  </w:r>
                  <w:proofErr w:type="spellStart"/>
                  <w:r>
                    <w:rPr>
                      <w:rFonts w:ascii="Times New Roman" w:eastAsia="Times New Roman" w:hAnsi="Times New Roman"/>
                      <w:sz w:val="20"/>
                      <w:szCs w:val="20"/>
                    </w:rPr>
                    <w:t>Kowert</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kowertba@slu.edu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Bruce A. Kowert</w:t>
                  </w:r>
                  <w:r>
                    <w:rPr>
                      <w:rFonts w:ascii="Times New Roman" w:eastAsia="Times New Roman" w:hAnsi="Times New Roman"/>
                      <w:sz w:val="20"/>
                      <w:szCs w:val="20"/>
                      <w:vertAlign w:val="superscript"/>
                    </w:rPr>
                    <w:t>1</w:t>
                  </w:r>
                  <w:r>
                    <w:rPr>
                      <w:rFonts w:ascii="Times New Roman" w:eastAsia="Times New Roman" w:hAnsi="Times New Roman"/>
                      <w:sz w:val="20"/>
                      <w:szCs w:val="20"/>
                    </w:rPr>
                    <w:t>, Paul M. Register</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St Louis </w:t>
                  </w:r>
                  <w:proofErr w:type="spellStart"/>
                  <w:r>
                    <w:rPr>
                      <w:rFonts w:ascii="Times New Roman" w:eastAsia="Times New Roman" w:hAnsi="Times New Roman"/>
                      <w:sz w:val="20"/>
                      <w:szCs w:val="20"/>
                    </w:rPr>
                    <w:t>Univ</w:t>
                  </w:r>
                  <w:proofErr w:type="spellEnd"/>
                  <w:r>
                    <w:rPr>
                      <w:rFonts w:ascii="Times New Roman" w:eastAsia="Times New Roman" w:hAnsi="Times New Roman"/>
                      <w:sz w:val="20"/>
                      <w:szCs w:val="20"/>
                    </w:rPr>
                    <w:t xml:space="preserve">, Saint Louis, MO,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The translational diffusion constants, </w:t>
                  </w:r>
                  <w:r>
                    <w:rPr>
                      <w:rFonts w:ascii="Times New Roman" w:eastAsia="Times New Roman" w:hAnsi="Times New Roman"/>
                      <w:i/>
                      <w:iCs/>
                      <w:sz w:val="20"/>
                      <w:szCs w:val="20"/>
                    </w:rPr>
                    <w:t>D</w:t>
                  </w:r>
                  <w:r>
                    <w:rPr>
                      <w:rFonts w:ascii="Times New Roman" w:eastAsia="Times New Roman" w:hAnsi="Times New Roman"/>
                      <w:sz w:val="20"/>
                      <w:szCs w:val="20"/>
                    </w:rPr>
                    <w:t xml:space="preserve">, of benzene and a series of </w:t>
                  </w:r>
                  <w:proofErr w:type="spellStart"/>
                  <w:r>
                    <w:rPr>
                      <w:rFonts w:ascii="Times New Roman" w:eastAsia="Times New Roman" w:hAnsi="Times New Roman"/>
                      <w:sz w:val="20"/>
                      <w:szCs w:val="20"/>
                    </w:rPr>
                    <w:t>alkylbenzenes</w:t>
                  </w:r>
                  <w:proofErr w:type="spellEnd"/>
                  <w:r>
                    <w:rPr>
                      <w:rFonts w:ascii="Times New Roman" w:eastAsia="Times New Roman" w:hAnsi="Times New Roman"/>
                      <w:sz w:val="20"/>
                      <w:szCs w:val="20"/>
                    </w:rPr>
                    <w:t xml:space="preserve"> have been determined in four </w:t>
                  </w:r>
                  <w:r>
                    <w:rPr>
                      <w:rFonts w:ascii="Times New Roman" w:eastAsia="Times New Roman" w:hAnsi="Times New Roman"/>
                      <w:i/>
                      <w:iCs/>
                      <w:sz w:val="20"/>
                      <w:szCs w:val="20"/>
                    </w:rPr>
                    <w:t>n</w:t>
                  </w:r>
                  <w:r>
                    <w:rPr>
                      <w:rFonts w:ascii="Times New Roman" w:eastAsia="Times New Roman" w:hAnsi="Times New Roman"/>
                      <w:sz w:val="20"/>
                      <w:szCs w:val="20"/>
                    </w:rPr>
                    <w:t xml:space="preserve">-alkanes at room temperature using capillary flow techniques. The </w:t>
                  </w:r>
                  <w:proofErr w:type="spellStart"/>
                  <w:r>
                    <w:rPr>
                      <w:rFonts w:ascii="Times New Roman" w:eastAsia="Times New Roman" w:hAnsi="Times New Roman"/>
                      <w:sz w:val="20"/>
                      <w:szCs w:val="20"/>
                    </w:rPr>
                    <w:t>alkylbenzenes</w:t>
                  </w:r>
                  <w:proofErr w:type="spellEnd"/>
                  <w:r>
                    <w:rPr>
                      <w:rFonts w:ascii="Times New Roman" w:eastAsia="Times New Roman" w:hAnsi="Times New Roman"/>
                      <w:sz w:val="20"/>
                      <w:szCs w:val="20"/>
                    </w:rPr>
                    <w:t xml:space="preserve"> are toluene, </w:t>
                  </w:r>
                  <w:proofErr w:type="spellStart"/>
                  <w:r>
                    <w:rPr>
                      <w:rFonts w:ascii="Times New Roman" w:eastAsia="Times New Roman" w:hAnsi="Times New Roman"/>
                      <w:sz w:val="20"/>
                      <w:szCs w:val="20"/>
                    </w:rPr>
                    <w:t>ethylbenzene</w:t>
                  </w:r>
                  <w:proofErr w:type="spellEnd"/>
                  <w:r>
                    <w:rPr>
                      <w:rFonts w:ascii="Times New Roman" w:eastAsia="Times New Roman" w:hAnsi="Times New Roman"/>
                      <w:sz w:val="20"/>
                      <w:szCs w:val="20"/>
                    </w:rPr>
                    <w:t xml:space="preserve">, 1-phenylpropane, 1-phenylpentane, 1-phenyloctane, 1-phenylundecane, 1-phenyltetradecane, and 1-phenylheptadecane. The </w:t>
                  </w:r>
                  <w:r>
                    <w:rPr>
                      <w:rFonts w:ascii="Times New Roman" w:eastAsia="Times New Roman" w:hAnsi="Times New Roman"/>
                      <w:i/>
                      <w:iCs/>
                      <w:sz w:val="20"/>
                      <w:szCs w:val="20"/>
                    </w:rPr>
                    <w:t>n</w:t>
                  </w:r>
                  <w:r>
                    <w:rPr>
                      <w:rFonts w:ascii="Times New Roman" w:eastAsia="Times New Roman" w:hAnsi="Times New Roman"/>
                      <w:sz w:val="20"/>
                      <w:szCs w:val="20"/>
                    </w:rPr>
                    <w:t xml:space="preserve">-alkanes are </w:t>
                  </w:r>
                  <w:r>
                    <w:rPr>
                      <w:rFonts w:ascii="Times New Roman" w:eastAsia="Times New Roman" w:hAnsi="Times New Roman"/>
                      <w:i/>
                      <w:iCs/>
                      <w:sz w:val="20"/>
                      <w:szCs w:val="20"/>
                    </w:rPr>
                    <w:t>n</w:t>
                  </w:r>
                  <w:r>
                    <w:rPr>
                      <w:rFonts w:ascii="Times New Roman" w:eastAsia="Times New Roman" w:hAnsi="Times New Roman"/>
                      <w:sz w:val="20"/>
                      <w:szCs w:val="20"/>
                    </w:rPr>
                    <w:t>-</w:t>
                  </w:r>
                  <w:proofErr w:type="spellStart"/>
                  <w:r>
                    <w:rPr>
                      <w:rFonts w:ascii="Times New Roman" w:eastAsia="Times New Roman" w:hAnsi="Times New Roman"/>
                      <w:sz w:val="20"/>
                      <w:szCs w:val="20"/>
                    </w:rPr>
                    <w:t>nonane</w:t>
                  </w:r>
                  <w:proofErr w:type="spellEnd"/>
                  <w:r>
                    <w:rPr>
                      <w:rFonts w:ascii="Times New Roman" w:eastAsia="Times New Roman" w:hAnsi="Times New Roman"/>
                      <w:sz w:val="20"/>
                      <w:szCs w:val="20"/>
                    </w:rPr>
                    <w:t xml:space="preserve">, </w:t>
                  </w:r>
                  <w:r>
                    <w:rPr>
                      <w:rFonts w:ascii="Times New Roman" w:eastAsia="Times New Roman" w:hAnsi="Times New Roman"/>
                      <w:i/>
                      <w:iCs/>
                      <w:sz w:val="20"/>
                      <w:szCs w:val="20"/>
                    </w:rPr>
                    <w:t>n</w:t>
                  </w:r>
                  <w:r>
                    <w:rPr>
                      <w:rFonts w:ascii="Times New Roman" w:eastAsia="Times New Roman" w:hAnsi="Times New Roman"/>
                      <w:sz w:val="20"/>
                      <w:szCs w:val="20"/>
                    </w:rPr>
                    <w:t>-</w:t>
                  </w:r>
                  <w:proofErr w:type="spellStart"/>
                  <w:r>
                    <w:rPr>
                      <w:rFonts w:ascii="Times New Roman" w:eastAsia="Times New Roman" w:hAnsi="Times New Roman"/>
                      <w:sz w:val="20"/>
                      <w:szCs w:val="20"/>
                    </w:rPr>
                    <w:t>decane</w:t>
                  </w:r>
                  <w:proofErr w:type="spellEnd"/>
                  <w:r>
                    <w:rPr>
                      <w:rFonts w:ascii="Times New Roman" w:eastAsia="Times New Roman" w:hAnsi="Times New Roman"/>
                      <w:sz w:val="20"/>
                      <w:szCs w:val="20"/>
                    </w:rPr>
                    <w:t xml:space="preserve">, </w:t>
                  </w:r>
                  <w:r>
                    <w:rPr>
                      <w:rFonts w:ascii="Times New Roman" w:eastAsia="Times New Roman" w:hAnsi="Times New Roman"/>
                      <w:i/>
                      <w:iCs/>
                      <w:sz w:val="20"/>
                      <w:szCs w:val="20"/>
                    </w:rPr>
                    <w:t>n</w:t>
                  </w:r>
                  <w:r>
                    <w:rPr>
                      <w:rFonts w:ascii="Times New Roman" w:eastAsia="Times New Roman" w:hAnsi="Times New Roman"/>
                      <w:sz w:val="20"/>
                      <w:szCs w:val="20"/>
                    </w:rPr>
                    <w:t>-</w:t>
                  </w:r>
                  <w:proofErr w:type="spellStart"/>
                  <w:r>
                    <w:rPr>
                      <w:rFonts w:ascii="Times New Roman" w:eastAsia="Times New Roman" w:hAnsi="Times New Roman"/>
                      <w:sz w:val="20"/>
                      <w:szCs w:val="20"/>
                    </w:rPr>
                    <w:t>dodecane</w:t>
                  </w:r>
                  <w:proofErr w:type="spellEnd"/>
                  <w:r>
                    <w:rPr>
                      <w:rFonts w:ascii="Times New Roman" w:eastAsia="Times New Roman" w:hAnsi="Times New Roman"/>
                      <w:sz w:val="20"/>
                      <w:szCs w:val="20"/>
                    </w:rPr>
                    <w:t xml:space="preserve">, and </w:t>
                  </w:r>
                  <w:r>
                    <w:rPr>
                      <w:rFonts w:ascii="Times New Roman" w:eastAsia="Times New Roman" w:hAnsi="Times New Roman"/>
                      <w:i/>
                      <w:iCs/>
                      <w:sz w:val="20"/>
                      <w:szCs w:val="20"/>
                    </w:rPr>
                    <w:t>n</w:t>
                  </w:r>
                  <w:r>
                    <w:rPr>
                      <w:rFonts w:ascii="Times New Roman" w:eastAsia="Times New Roman" w:hAnsi="Times New Roman"/>
                      <w:sz w:val="20"/>
                      <w:szCs w:val="20"/>
                    </w:rPr>
                    <w:t>-</w:t>
                  </w:r>
                  <w:proofErr w:type="spellStart"/>
                  <w:r>
                    <w:rPr>
                      <w:rFonts w:ascii="Times New Roman" w:eastAsia="Times New Roman" w:hAnsi="Times New Roman"/>
                      <w:sz w:val="20"/>
                      <w:szCs w:val="20"/>
                    </w:rPr>
                    <w:t>pentadecane</w:t>
                  </w:r>
                  <w:proofErr w:type="spellEnd"/>
                  <w:r>
                    <w:rPr>
                      <w:rFonts w:ascii="Times New Roman" w:eastAsia="Times New Roman" w:hAnsi="Times New Roman"/>
                      <w:sz w:val="20"/>
                      <w:szCs w:val="20"/>
                    </w:rPr>
                    <w:t xml:space="preserve">. Ratios of the solutes’ </w:t>
                  </w:r>
                  <w:r>
                    <w:rPr>
                      <w:rFonts w:ascii="Times New Roman" w:eastAsia="Times New Roman" w:hAnsi="Times New Roman"/>
                      <w:i/>
                      <w:iCs/>
                      <w:sz w:val="20"/>
                      <w:szCs w:val="20"/>
                    </w:rPr>
                    <w:t>D</w:t>
                  </w:r>
                  <w:r>
                    <w:rPr>
                      <w:rFonts w:ascii="Times New Roman" w:eastAsia="Times New Roman" w:hAnsi="Times New Roman"/>
                      <w:sz w:val="20"/>
                      <w:szCs w:val="20"/>
                    </w:rPr>
                    <w:t xml:space="preserve"> values are independent of solvent and in general agreement with the predictions of diffusion models for cylinders and lollipops. For the latter, an </w:t>
                  </w:r>
                  <w:proofErr w:type="spellStart"/>
                  <w:r>
                    <w:rPr>
                      <w:rFonts w:ascii="Times New Roman" w:eastAsia="Times New Roman" w:hAnsi="Times New Roman"/>
                      <w:sz w:val="20"/>
                      <w:szCs w:val="20"/>
                    </w:rPr>
                    <w:t>alkylbenzene’s</w:t>
                  </w:r>
                  <w:proofErr w:type="spellEnd"/>
                  <w:r>
                    <w:rPr>
                      <w:rFonts w:ascii="Times New Roman" w:eastAsia="Times New Roman" w:hAnsi="Times New Roman"/>
                      <w:sz w:val="20"/>
                      <w:szCs w:val="20"/>
                    </w:rPr>
                    <w:t xml:space="preserve"> phenyl ring is the lollipop’s candy; the alkyl chain is its handle. A model that considers the solutes to be spheres with volumes determined by the van der Waals increments of their constituent atoms is not in agreement with experiment. The diffusion constant ratios of 1-alkene and </w:t>
                  </w:r>
                  <w:r>
                    <w:rPr>
                      <w:rFonts w:ascii="Times New Roman" w:eastAsia="Times New Roman" w:hAnsi="Times New Roman"/>
                      <w:i/>
                      <w:iCs/>
                      <w:sz w:val="20"/>
                      <w:szCs w:val="20"/>
                    </w:rPr>
                    <w:t>n</w:t>
                  </w:r>
                  <w:r>
                    <w:rPr>
                      <w:rFonts w:ascii="Times New Roman" w:eastAsia="Times New Roman" w:hAnsi="Times New Roman"/>
                      <w:sz w:val="20"/>
                      <w:szCs w:val="20"/>
                    </w:rPr>
                    <w:t xml:space="preserve">-alkane solutes in </w:t>
                  </w:r>
                  <w:r>
                    <w:rPr>
                      <w:rFonts w:ascii="Times New Roman" w:eastAsia="Times New Roman" w:hAnsi="Times New Roman"/>
                      <w:i/>
                      <w:iCs/>
                      <w:sz w:val="20"/>
                      <w:szCs w:val="20"/>
                    </w:rPr>
                    <w:t>n</w:t>
                  </w:r>
                  <w:r>
                    <w:rPr>
                      <w:rFonts w:ascii="Times New Roman" w:eastAsia="Times New Roman" w:hAnsi="Times New Roman"/>
                      <w:sz w:val="20"/>
                      <w:szCs w:val="20"/>
                    </w:rPr>
                    <w:t xml:space="preserve">-hexane, </w:t>
                  </w:r>
                  <w:r>
                    <w:rPr>
                      <w:rFonts w:ascii="Times New Roman" w:eastAsia="Times New Roman" w:hAnsi="Times New Roman"/>
                      <w:i/>
                      <w:iCs/>
                      <w:sz w:val="20"/>
                      <w:szCs w:val="20"/>
                    </w:rPr>
                    <w:t>n</w:t>
                  </w:r>
                  <w:r>
                    <w:rPr>
                      <w:rFonts w:ascii="Times New Roman" w:eastAsia="Times New Roman" w:hAnsi="Times New Roman"/>
                      <w:sz w:val="20"/>
                      <w:szCs w:val="20"/>
                    </w:rPr>
                    <w:t xml:space="preserve">-heptane, and </w:t>
                  </w:r>
                  <w:r>
                    <w:rPr>
                      <w:rFonts w:ascii="Times New Roman" w:eastAsia="Times New Roman" w:hAnsi="Times New Roman"/>
                      <w:i/>
                      <w:iCs/>
                      <w:sz w:val="20"/>
                      <w:szCs w:val="20"/>
                    </w:rPr>
                    <w:t>n</w:t>
                  </w:r>
                  <w:r>
                    <w:rPr>
                      <w:rFonts w:ascii="Times New Roman" w:eastAsia="Times New Roman" w:hAnsi="Times New Roman"/>
                      <w:sz w:val="20"/>
                      <w:szCs w:val="20"/>
                    </w:rPr>
                    <w:t xml:space="preserve">-octane also are compared with the cylinder model; reasonably good agreement is found. The agreement with the cylinder model indicates that the translational motion of the </w:t>
                  </w:r>
                  <w:proofErr w:type="spellStart"/>
                  <w:r>
                    <w:rPr>
                      <w:rFonts w:ascii="Times New Roman" w:eastAsia="Times New Roman" w:hAnsi="Times New Roman"/>
                      <w:sz w:val="20"/>
                      <w:szCs w:val="20"/>
                    </w:rPr>
                    <w:t>alkylbenzenes</w:t>
                  </w:r>
                  <w:proofErr w:type="spellEnd"/>
                  <w:r>
                    <w:rPr>
                      <w:rFonts w:ascii="Times New Roman" w:eastAsia="Times New Roman" w:hAnsi="Times New Roman"/>
                      <w:sz w:val="20"/>
                      <w:szCs w:val="20"/>
                    </w:rPr>
                    <w:t xml:space="preserve"> is similar to that of the 1-alkene and </w:t>
                  </w:r>
                  <w:r>
                    <w:rPr>
                      <w:rFonts w:ascii="Times New Roman" w:eastAsia="Times New Roman" w:hAnsi="Times New Roman"/>
                      <w:i/>
                      <w:iCs/>
                      <w:sz w:val="20"/>
                      <w:szCs w:val="20"/>
                    </w:rPr>
                    <w:t>n</w:t>
                  </w:r>
                  <w:r>
                    <w:rPr>
                      <w:rFonts w:ascii="Times New Roman" w:eastAsia="Times New Roman" w:hAnsi="Times New Roman"/>
                      <w:sz w:val="20"/>
                      <w:szCs w:val="20"/>
                    </w:rPr>
                    <w:t xml:space="preserve">-alkane solutes in these solvents. </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5"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2360667</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Chemical Kinetics in the Processing of Nuclear Materials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J McFarlane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joannamcfarlane@bellsouth.net</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J McFarlane</w:t>
                  </w:r>
                  <w:r>
                    <w:rPr>
                      <w:rFonts w:ascii="Times New Roman" w:eastAsia="Times New Roman" w:hAnsi="Times New Roman"/>
                      <w:sz w:val="20"/>
                      <w:szCs w:val="20"/>
                      <w:vertAlign w:val="superscript"/>
                    </w:rPr>
                    <w:t>1</w:t>
                  </w:r>
                  <w:r>
                    <w:rPr>
                      <w:rFonts w:ascii="Times New Roman" w:eastAsia="Times New Roman" w:hAnsi="Times New Roman"/>
                      <w:sz w:val="20"/>
                      <w:szCs w:val="20"/>
                    </w:rPr>
                    <w:t>, Laetitia H. Delmau</w:t>
                  </w:r>
                  <w:r>
                    <w:rPr>
                      <w:rFonts w:ascii="Times New Roman" w:eastAsia="Times New Roman" w:hAnsi="Times New Roman"/>
                      <w:sz w:val="20"/>
                      <w:szCs w:val="20"/>
                      <w:vertAlign w:val="superscript"/>
                    </w:rPr>
                    <w:t>2</w:t>
                  </w:r>
                  <w:r>
                    <w:rPr>
                      <w:rFonts w:ascii="Times New Roman" w:eastAsia="Times New Roman" w:hAnsi="Times New Roman"/>
                      <w:sz w:val="20"/>
                      <w:szCs w:val="20"/>
                    </w:rPr>
                    <w:t>, David W. DePaoli</w:t>
                  </w:r>
                  <w:r>
                    <w:rPr>
                      <w:rFonts w:ascii="Times New Roman" w:eastAsia="Times New Roman" w:hAnsi="Times New Roman"/>
                      <w:sz w:val="20"/>
                      <w:szCs w:val="20"/>
                      <w:vertAlign w:val="superscript"/>
                    </w:rPr>
                    <w:t>2</w:t>
                  </w:r>
                  <w:r>
                    <w:rPr>
                      <w:rFonts w:ascii="Times New Roman" w:eastAsia="Times New Roman" w:hAnsi="Times New Roman"/>
                      <w:sz w:val="20"/>
                      <w:szCs w:val="20"/>
                    </w:rPr>
                    <w:t>, Catherine H. Mattus</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Energy and Transportation Science Division, Oak Ridge National Laboratory, Oak Ridge, TN, United States. </w:t>
                  </w:r>
                  <w:r>
                    <w:rPr>
                      <w:rFonts w:ascii="Times New Roman" w:eastAsia="Times New Roman" w:hAnsi="Times New Roman"/>
                      <w:sz w:val="20"/>
                      <w:szCs w:val="20"/>
                    </w:rPr>
                    <w:br/>
                    <w:t xml:space="preserve">2. Nuclear Security and Isotope Technology Division, Oak Ridge National Laboratory, Oak Ridge, TN,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Irradiation of target materials is used to make actinides, such as plutonium-238, for thermoelectric generators to power deep space missions. NASA and DOE have a project to increase the stockpile of Pu-238 to power missions in 2020 and beyond. Targets are being irradiated at the Oak Ridge National Laboratory (ORNL) High Flux Isotope Reactor (HFIR). To extract the plutonium from the neptunium target material and fission byproducts, a number of chemical separations are being carried out at the ORNL Radiochemical Engineering Development Center (REDC). After dissolution of the aluminum cladding, the separations are based on control of the redox chemistry of the plutonium and neptunium, by selectively adding redox-active reagents. The chemistry of dissolution and redox state is controlled by the kinetics of the reactions involved. We have been conducting kinetics experiments and modeling reaction chemistry using </w:t>
                  </w:r>
                  <w:proofErr w:type="spellStart"/>
                  <w:r>
                    <w:rPr>
                      <w:rFonts w:ascii="Times New Roman" w:eastAsia="Times New Roman" w:hAnsi="Times New Roman"/>
                      <w:sz w:val="20"/>
                      <w:szCs w:val="20"/>
                    </w:rPr>
                    <w:t>Matlab</w:t>
                  </w:r>
                  <w:proofErr w:type="spellEnd"/>
                  <w:r>
                    <w:rPr>
                      <w:rFonts w:ascii="Times New Roman" w:eastAsia="Times New Roman" w:hAnsi="Times New Roman"/>
                      <w:sz w:val="20"/>
                      <w:szCs w:val="20"/>
                    </w:rPr>
                    <w:t xml:space="preserve"> in support of the process </w:t>
                  </w:r>
                  <w:proofErr w:type="spellStart"/>
                  <w:r>
                    <w:rPr>
                      <w:rFonts w:ascii="Times New Roman" w:eastAsia="Times New Roman" w:hAnsi="Times New Roman"/>
                      <w:sz w:val="20"/>
                      <w:szCs w:val="20"/>
                    </w:rPr>
                    <w:t>flowsheet</w:t>
                  </w:r>
                  <w:proofErr w:type="spellEnd"/>
                  <w:r>
                    <w:rPr>
                      <w:rFonts w:ascii="Times New Roman" w:eastAsia="Times New Roman" w:hAnsi="Times New Roman"/>
                      <w:sz w:val="20"/>
                      <w:szCs w:val="20"/>
                    </w:rPr>
                    <w:t xml:space="preserve"> development, and comparing these findings with published literature. We have been able to measure temperature dependent rates of reaction for the dissolution of aluminum alloy and the decomposition of hydroxylamine nitrate. The first process gives an example of an exothermic process that does not include autocatalysis, whereas the second process involves autocatalysis which requires a Semenov factor included in the rate equation. The role of minor alloying elements and fission products will be explored.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6"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2367149</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Ionic liquid binary mixtures with organic solvent as an electrolyte for wide temperature and high performance </w:t>
                  </w:r>
                  <w:proofErr w:type="spellStart"/>
                  <w:r>
                    <w:rPr>
                      <w:rFonts w:ascii="Times New Roman" w:eastAsia="Times New Roman" w:hAnsi="Times New Roman"/>
                      <w:b/>
                      <w:bCs/>
                      <w:sz w:val="20"/>
                      <w:szCs w:val="20"/>
                    </w:rPr>
                    <w:t>supercapacitor</w:t>
                  </w:r>
                  <w:proofErr w:type="spellEnd"/>
                  <w:r>
                    <w:rPr>
                      <w:rFonts w:ascii="Times New Roman" w:eastAsia="Times New Roman" w:hAnsi="Times New Roman"/>
                      <w:b/>
                      <w:bCs/>
                      <w:sz w:val="20"/>
                      <w:szCs w:val="20"/>
                    </w:rPr>
                    <w:t xml:space="preserve"> applications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proofErr w:type="spellStart"/>
                  <w:r>
                    <w:rPr>
                      <w:rFonts w:ascii="Times New Roman" w:eastAsia="Times New Roman" w:hAnsi="Times New Roman"/>
                      <w:sz w:val="20"/>
                      <w:szCs w:val="20"/>
                    </w:rPr>
                    <w:t>Rangana</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Jayawickramage</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jrp130430@utdallas.edu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proofErr w:type="spellStart"/>
                  <w:r>
                    <w:rPr>
                      <w:rFonts w:ascii="Times New Roman" w:eastAsia="Times New Roman" w:hAnsi="Times New Roman"/>
                      <w:sz w:val="20"/>
                      <w:szCs w:val="20"/>
                    </w:rPr>
                    <w:t>Rangana</w:t>
                  </w:r>
                  <w:proofErr w:type="spellEnd"/>
                  <w:r>
                    <w:rPr>
                      <w:rFonts w:ascii="Times New Roman" w:eastAsia="Times New Roman" w:hAnsi="Times New Roman"/>
                      <w:sz w:val="20"/>
                      <w:szCs w:val="20"/>
                    </w:rPr>
                    <w:t xml:space="preserve"> Jayawickramage</w:t>
                  </w:r>
                  <w:r>
                    <w:rPr>
                      <w:rFonts w:ascii="Times New Roman" w:eastAsia="Times New Roman" w:hAnsi="Times New Roman"/>
                      <w:sz w:val="20"/>
                      <w:szCs w:val="20"/>
                      <w:vertAlign w:val="superscript"/>
                    </w:rPr>
                    <w:t>2</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Jeliza</w:t>
                  </w:r>
                  <w:proofErr w:type="spellEnd"/>
                  <w:r>
                    <w:rPr>
                      <w:rFonts w:ascii="Times New Roman" w:eastAsia="Times New Roman" w:hAnsi="Times New Roman"/>
                      <w:sz w:val="20"/>
                      <w:szCs w:val="20"/>
                    </w:rPr>
                    <w:t xml:space="preserve"> S. Bonso</w:t>
                  </w:r>
                  <w:r>
                    <w:rPr>
                      <w:rFonts w:ascii="Times New Roman" w:eastAsia="Times New Roman" w:hAnsi="Times New Roman"/>
                      <w:sz w:val="20"/>
                      <w:szCs w:val="20"/>
                      <w:vertAlign w:val="superscript"/>
                    </w:rPr>
                    <w:t>1</w:t>
                  </w:r>
                  <w:r>
                    <w:rPr>
                      <w:rFonts w:ascii="Times New Roman" w:eastAsia="Times New Roman" w:hAnsi="Times New Roman"/>
                      <w:sz w:val="20"/>
                      <w:szCs w:val="20"/>
                    </w:rPr>
                    <w:t>, John P. Ferraris</w:t>
                  </w:r>
                  <w:r>
                    <w:rPr>
                      <w:rFonts w:ascii="Times New Roman" w:eastAsia="Times New Roman" w:hAnsi="Times New Roman"/>
                      <w:sz w:val="20"/>
                      <w:szCs w:val="20"/>
                      <w:vertAlign w:val="superscript"/>
                    </w:rPr>
                    <w:t>3</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Chemistry/BE 26, The University of Texas at Dallas, Richardson, TX, United States. </w:t>
                  </w:r>
                  <w:r>
                    <w:rPr>
                      <w:rFonts w:ascii="Times New Roman" w:eastAsia="Times New Roman" w:hAnsi="Times New Roman"/>
                      <w:sz w:val="20"/>
                      <w:szCs w:val="20"/>
                    </w:rPr>
                    <w:br/>
                    <w:t xml:space="preserve">2. Chemistry, University of Texas at Dallas, Dallas, TX, United States. </w:t>
                  </w:r>
                  <w:r>
                    <w:rPr>
                      <w:rFonts w:ascii="Times New Roman" w:eastAsia="Times New Roman" w:hAnsi="Times New Roman"/>
                      <w:sz w:val="20"/>
                      <w:szCs w:val="20"/>
                    </w:rPr>
                    <w:br/>
                    <w:t xml:space="preserve">3. Department of Chemistry, University of Texas at Dallas, Richardson,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The capability of </w:t>
                  </w:r>
                  <w:proofErr w:type="spellStart"/>
                  <w:r>
                    <w:rPr>
                      <w:rFonts w:ascii="Times New Roman" w:eastAsia="Times New Roman" w:hAnsi="Times New Roman"/>
                      <w:sz w:val="20"/>
                      <w:szCs w:val="20"/>
                    </w:rPr>
                    <w:t>supercapacitors</w:t>
                  </w:r>
                  <w:proofErr w:type="spellEnd"/>
                  <w:r>
                    <w:rPr>
                      <w:rFonts w:ascii="Times New Roman" w:eastAsia="Times New Roman" w:hAnsi="Times New Roman"/>
                      <w:sz w:val="20"/>
                      <w:szCs w:val="20"/>
                    </w:rPr>
                    <w:t xml:space="preserve"> to work over a wide temperature window (-40 °C to +80 °C) has drawn attention in many applications like space, military and some industries. The main limiting factor for a wide temperature window is the stability of electrolyte. Organic and aqueous electrolytes have lower boiling points and cannot be used in high temperature applications. Ionic liquid electrolytes have been explored in </w:t>
                  </w:r>
                  <w:proofErr w:type="spellStart"/>
                  <w:r>
                    <w:rPr>
                      <w:rFonts w:ascii="Times New Roman" w:eastAsia="Times New Roman" w:hAnsi="Times New Roman"/>
                      <w:sz w:val="20"/>
                      <w:szCs w:val="20"/>
                    </w:rPr>
                    <w:t>supercapacitors</w:t>
                  </w:r>
                  <w:proofErr w:type="spellEnd"/>
                  <w:r>
                    <w:rPr>
                      <w:rFonts w:ascii="Times New Roman" w:eastAsia="Times New Roman" w:hAnsi="Times New Roman"/>
                      <w:sz w:val="20"/>
                      <w:szCs w:val="20"/>
                    </w:rPr>
                    <w:t xml:space="preserve"> because of their high thermal stability (&gt;200 °C). </w:t>
                  </w:r>
                  <w:proofErr w:type="spellStart"/>
                  <w:r>
                    <w:rPr>
                      <w:rFonts w:ascii="Times New Roman" w:eastAsia="Times New Roman" w:hAnsi="Times New Roman"/>
                      <w:sz w:val="20"/>
                      <w:szCs w:val="20"/>
                    </w:rPr>
                    <w:t>Pyrrolidinium</w:t>
                  </w:r>
                  <w:proofErr w:type="spellEnd"/>
                  <w:r>
                    <w:rPr>
                      <w:rFonts w:ascii="Times New Roman" w:eastAsia="Times New Roman" w:hAnsi="Times New Roman"/>
                      <w:sz w:val="20"/>
                      <w:szCs w:val="20"/>
                    </w:rPr>
                    <w:t xml:space="preserve">-based ionic liquids are a widely used class of ionic liquids because they have lower melting temperature. A significant increase in the temperature window has been obtained by using ionic liquid binary mixtures as electrolytes. The binary mixture of 1-butyl-1-methylpyrrolidinium </w:t>
                  </w:r>
                  <w:proofErr w:type="spellStart"/>
                  <w:proofErr w:type="gramStart"/>
                  <w:r>
                    <w:rPr>
                      <w:rFonts w:ascii="Times New Roman" w:eastAsia="Times New Roman" w:hAnsi="Times New Roman"/>
                      <w:sz w:val="20"/>
                      <w:szCs w:val="20"/>
                    </w:rPr>
                    <w:t>bis</w:t>
                  </w:r>
                  <w:proofErr w:type="spellEnd"/>
                  <w:r>
                    <w:rPr>
                      <w:rFonts w:ascii="Times New Roman" w:eastAsia="Times New Roman" w:hAnsi="Times New Roman"/>
                      <w:sz w:val="20"/>
                      <w:szCs w:val="20"/>
                    </w:rPr>
                    <w:t>(</w:t>
                  </w:r>
                  <w:proofErr w:type="spellStart"/>
                  <w:proofErr w:type="gramEnd"/>
                  <w:r>
                    <w:rPr>
                      <w:rFonts w:ascii="Times New Roman" w:eastAsia="Times New Roman" w:hAnsi="Times New Roman"/>
                      <w:sz w:val="20"/>
                      <w:szCs w:val="20"/>
                    </w:rPr>
                    <w:t>trifluoromethylsulfonyl</w:t>
                  </w:r>
                  <w:proofErr w:type="spellEnd"/>
                  <w:r>
                    <w:rPr>
                      <w:rFonts w:ascii="Times New Roman" w:eastAsia="Times New Roman" w:hAnsi="Times New Roman"/>
                      <w:sz w:val="20"/>
                      <w:szCs w:val="20"/>
                    </w:rPr>
                    <w:t xml:space="preserve">)imide (Pyr14-TFSI) and 1-propyl-1-methylpyrrolidinium </w:t>
                  </w:r>
                  <w:proofErr w:type="spellStart"/>
                  <w:r>
                    <w:rPr>
                      <w:rFonts w:ascii="Times New Roman" w:eastAsia="Times New Roman" w:hAnsi="Times New Roman"/>
                      <w:sz w:val="20"/>
                      <w:szCs w:val="20"/>
                    </w:rPr>
                    <w:t>bis</w:t>
                  </w:r>
                  <w:proofErr w:type="spellEnd"/>
                  <w:r>
                    <w:rPr>
                      <w:rFonts w:ascii="Times New Roman" w:eastAsia="Times New Roman" w:hAnsi="Times New Roman"/>
                      <w:sz w:val="20"/>
                      <w:szCs w:val="20"/>
                    </w:rPr>
                    <w:t>(</w:t>
                  </w:r>
                  <w:proofErr w:type="spellStart"/>
                  <w:r>
                    <w:rPr>
                      <w:rFonts w:ascii="Times New Roman" w:eastAsia="Times New Roman" w:hAnsi="Times New Roman"/>
                      <w:sz w:val="20"/>
                      <w:szCs w:val="20"/>
                    </w:rPr>
                    <w:t>trifluoromethylsulfonyl</w:t>
                  </w:r>
                  <w:proofErr w:type="spellEnd"/>
                  <w:r>
                    <w:rPr>
                      <w:rFonts w:ascii="Times New Roman" w:eastAsia="Times New Roman" w:hAnsi="Times New Roman"/>
                      <w:sz w:val="20"/>
                      <w:szCs w:val="20"/>
                    </w:rPr>
                    <w:t xml:space="preserve">)imide (Pyr13-TFSI) is particularly attractive. Unfortunately, since both electrolytes are highly viscous, this results in a low ionic conductivity of the mixture which leads to lower electrochemical performance. Conductivity measurements and DSC analysis show that by adding an organic solvent to this binary mixture, the conductivity can be increased without decreasing the temperature window. Also the electrochemical performance of coin cell </w:t>
                  </w:r>
                  <w:proofErr w:type="spellStart"/>
                  <w:r>
                    <w:rPr>
                      <w:rFonts w:ascii="Times New Roman" w:eastAsia="Times New Roman" w:hAnsi="Times New Roman"/>
                      <w:sz w:val="20"/>
                      <w:szCs w:val="20"/>
                    </w:rPr>
                    <w:t>supercapacitors</w:t>
                  </w:r>
                  <w:proofErr w:type="spellEnd"/>
                  <w:r>
                    <w:rPr>
                      <w:rFonts w:ascii="Times New Roman" w:eastAsia="Times New Roman" w:hAnsi="Times New Roman"/>
                      <w:sz w:val="20"/>
                      <w:szCs w:val="20"/>
                    </w:rPr>
                    <w:t xml:space="preserve"> were tested using Pyr14-TFSI and Pyr13-TFSI ionic liquid binary mixture in organic solvent as the electrolyte and carbon </w:t>
                  </w:r>
                  <w:proofErr w:type="spellStart"/>
                  <w:r>
                    <w:rPr>
                      <w:rFonts w:ascii="Times New Roman" w:eastAsia="Times New Roman" w:hAnsi="Times New Roman"/>
                      <w:sz w:val="20"/>
                      <w:szCs w:val="20"/>
                    </w:rPr>
                    <w:t>nano</w:t>
                  </w:r>
                  <w:proofErr w:type="spellEnd"/>
                  <w:r>
                    <w:rPr>
                      <w:rFonts w:ascii="Times New Roman" w:eastAsia="Times New Roman" w:hAnsi="Times New Roman"/>
                      <w:sz w:val="20"/>
                      <w:szCs w:val="20"/>
                    </w:rPr>
                    <w:t xml:space="preserve"> fiber as the electrode material. Coin cell </w:t>
                  </w:r>
                  <w:proofErr w:type="spellStart"/>
                  <w:r>
                    <w:rPr>
                      <w:rFonts w:ascii="Times New Roman" w:eastAsia="Times New Roman" w:hAnsi="Times New Roman"/>
                      <w:sz w:val="20"/>
                      <w:szCs w:val="20"/>
                    </w:rPr>
                    <w:t>supercapacitor</w:t>
                  </w:r>
                  <w:proofErr w:type="spellEnd"/>
                  <w:r>
                    <w:rPr>
                      <w:rFonts w:ascii="Times New Roman" w:eastAsia="Times New Roman" w:hAnsi="Times New Roman"/>
                      <w:sz w:val="20"/>
                      <w:szCs w:val="20"/>
                    </w:rPr>
                    <w:t xml:space="preserve"> with Pyr14-TFSI and Pyr13-TFSI did not work at -50 °C, in contrast the ionic liquid binary mixtures in organic solvent electrolyte showed 93% retained in specific capacitance at -50 °C at 10mV/s.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7"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2367445</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TITLE: Study of the Effect of Anion on the X-ray Crystal Structures and Thermal Properties of 1,3-Dibenylimidazolium Based Ionic Liquids</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proofErr w:type="spellStart"/>
                  <w:r>
                    <w:rPr>
                      <w:rFonts w:ascii="Times New Roman" w:eastAsia="Times New Roman" w:hAnsi="Times New Roman"/>
                      <w:sz w:val="20"/>
                      <w:szCs w:val="20"/>
                    </w:rPr>
                    <w:t>Eshan</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Gurung</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eshan.gurung@ttu.edu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proofErr w:type="spellStart"/>
                  <w:r>
                    <w:rPr>
                      <w:rFonts w:ascii="Times New Roman" w:eastAsia="Times New Roman" w:hAnsi="Times New Roman"/>
                      <w:sz w:val="20"/>
                      <w:szCs w:val="20"/>
                    </w:rPr>
                    <w:t>Eshan</w:t>
                  </w:r>
                  <w:proofErr w:type="spellEnd"/>
                  <w:r>
                    <w:rPr>
                      <w:rFonts w:ascii="Times New Roman" w:eastAsia="Times New Roman" w:hAnsi="Times New Roman"/>
                      <w:sz w:val="20"/>
                      <w:szCs w:val="20"/>
                    </w:rPr>
                    <w:t xml:space="preserve"> Gurung</w:t>
                  </w:r>
                  <w:r>
                    <w:rPr>
                      <w:rFonts w:ascii="Times New Roman" w:eastAsia="Times New Roman" w:hAnsi="Times New Roman"/>
                      <w:sz w:val="20"/>
                      <w:szCs w:val="20"/>
                      <w:vertAlign w:val="superscript"/>
                    </w:rPr>
                    <w:t>1</w:t>
                  </w:r>
                  <w:r>
                    <w:rPr>
                      <w:rFonts w:ascii="Times New Roman" w:eastAsia="Times New Roman" w:hAnsi="Times New Roman"/>
                      <w:sz w:val="20"/>
                      <w:szCs w:val="20"/>
                    </w:rPr>
                    <w:t>, Ran Tao</w:t>
                  </w:r>
                  <w:r>
                    <w:rPr>
                      <w:rFonts w:ascii="Times New Roman" w:eastAsia="Times New Roman" w:hAnsi="Times New Roman"/>
                      <w:sz w:val="20"/>
                      <w:szCs w:val="20"/>
                      <w:vertAlign w:val="superscript"/>
                    </w:rPr>
                    <w:t>2</w:t>
                  </w:r>
                  <w:r>
                    <w:rPr>
                      <w:rFonts w:ascii="Times New Roman" w:eastAsia="Times New Roman" w:hAnsi="Times New Roman"/>
                      <w:sz w:val="20"/>
                      <w:szCs w:val="20"/>
                    </w:rPr>
                    <w:t>, Daniel Unruh</w:t>
                  </w:r>
                  <w:r>
                    <w:rPr>
                      <w:rFonts w:ascii="Times New Roman" w:eastAsia="Times New Roman" w:hAnsi="Times New Roman"/>
                      <w:sz w:val="20"/>
                      <w:szCs w:val="20"/>
                      <w:vertAlign w:val="superscript"/>
                    </w:rPr>
                    <w:t>1</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mustafa</w:t>
                  </w:r>
                  <w:proofErr w:type="spellEnd"/>
                  <w:r>
                    <w:rPr>
                      <w:rFonts w:ascii="Times New Roman" w:eastAsia="Times New Roman" w:hAnsi="Times New Roman"/>
                      <w:sz w:val="20"/>
                      <w:szCs w:val="20"/>
                    </w:rPr>
                    <w:t xml:space="preserve"> cetin</w:t>
                  </w:r>
                  <w:r>
                    <w:rPr>
                      <w:rFonts w:ascii="Times New Roman" w:eastAsia="Times New Roman" w:hAnsi="Times New Roman"/>
                      <w:sz w:val="20"/>
                      <w:szCs w:val="20"/>
                      <w:vertAlign w:val="superscript"/>
                    </w:rPr>
                    <w:t>1</w:t>
                  </w:r>
                  <w:r>
                    <w:rPr>
                      <w:rFonts w:ascii="Times New Roman" w:eastAsia="Times New Roman" w:hAnsi="Times New Roman"/>
                      <w:sz w:val="20"/>
                      <w:szCs w:val="20"/>
                    </w:rPr>
                    <w:t>, George Tamas</w:t>
                  </w:r>
                  <w:r>
                    <w:rPr>
                      <w:rFonts w:ascii="Times New Roman" w:eastAsia="Times New Roman" w:hAnsi="Times New Roman"/>
                      <w:sz w:val="20"/>
                      <w:szCs w:val="20"/>
                      <w:vertAlign w:val="superscript"/>
                    </w:rPr>
                    <w:t>1</w:t>
                  </w:r>
                  <w:r>
                    <w:rPr>
                      <w:rFonts w:ascii="Times New Roman" w:eastAsia="Times New Roman" w:hAnsi="Times New Roman"/>
                      <w:sz w:val="20"/>
                      <w:szCs w:val="20"/>
                    </w:rPr>
                    <w:t>, Michael F. Mayer</w:t>
                  </w:r>
                  <w:r>
                    <w:rPr>
                      <w:rFonts w:ascii="Times New Roman" w:eastAsia="Times New Roman" w:hAnsi="Times New Roman"/>
                      <w:sz w:val="20"/>
                      <w:szCs w:val="20"/>
                      <w:vertAlign w:val="superscript"/>
                    </w:rPr>
                    <w:t>1</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Sindee</w:t>
                  </w:r>
                  <w:proofErr w:type="spellEnd"/>
                  <w:r>
                    <w:rPr>
                      <w:rFonts w:ascii="Times New Roman" w:eastAsia="Times New Roman" w:hAnsi="Times New Roman"/>
                      <w:sz w:val="20"/>
                      <w:szCs w:val="20"/>
                    </w:rPr>
                    <w:t xml:space="preserve"> L. Simon</w:t>
                  </w:r>
                  <w:r>
                    <w:rPr>
                      <w:rFonts w:ascii="Times New Roman" w:eastAsia="Times New Roman" w:hAnsi="Times New Roman"/>
                      <w:sz w:val="20"/>
                      <w:szCs w:val="20"/>
                      <w:vertAlign w:val="superscript"/>
                    </w:rPr>
                    <w:t>2</w:t>
                  </w:r>
                  <w:r>
                    <w:rPr>
                      <w:rFonts w:ascii="Times New Roman" w:eastAsia="Times New Roman" w:hAnsi="Times New Roman"/>
                      <w:sz w:val="20"/>
                      <w:szCs w:val="20"/>
                    </w:rPr>
                    <w:t>, Edward L. Quitevis</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Department of Chemistry and Biochemistry, Texas Tech University, Lubbock, TX, United States. </w:t>
                  </w:r>
                  <w:r>
                    <w:rPr>
                      <w:rFonts w:ascii="Times New Roman" w:eastAsia="Times New Roman" w:hAnsi="Times New Roman"/>
                      <w:sz w:val="20"/>
                      <w:szCs w:val="20"/>
                    </w:rPr>
                    <w:br/>
                    <w:t xml:space="preserve">2. Department of Chemical Engineering, Texas Tech University, Lubbock,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Three crystals of 1</w:t>
                  </w:r>
                  <w:proofErr w:type="gramStart"/>
                  <w:r>
                    <w:rPr>
                      <w:rFonts w:ascii="Times New Roman" w:eastAsia="Times New Roman" w:hAnsi="Times New Roman"/>
                      <w:sz w:val="20"/>
                      <w:szCs w:val="20"/>
                    </w:rPr>
                    <w:t>,3</w:t>
                  </w:r>
                  <w:proofErr w:type="gramEnd"/>
                  <w:r>
                    <w:rPr>
                      <w:rFonts w:ascii="Times New Roman" w:eastAsia="Times New Roman" w:hAnsi="Times New Roman"/>
                      <w:sz w:val="20"/>
                      <w:szCs w:val="20"/>
                    </w:rPr>
                    <w:t xml:space="preserve">-dibenylimidazolium ionic liquid systems with varying the anions, bromide (I), </w:t>
                  </w:r>
                  <w:proofErr w:type="spellStart"/>
                  <w:r>
                    <w:rPr>
                      <w:rFonts w:ascii="Times New Roman" w:eastAsia="Times New Roman" w:hAnsi="Times New Roman"/>
                      <w:sz w:val="20"/>
                      <w:szCs w:val="20"/>
                    </w:rPr>
                    <w:t>triflate</w:t>
                  </w:r>
                  <w:proofErr w:type="spellEnd"/>
                  <w:r>
                    <w:rPr>
                      <w:rFonts w:ascii="Times New Roman" w:eastAsia="Times New Roman" w:hAnsi="Times New Roman"/>
                      <w:sz w:val="20"/>
                      <w:szCs w:val="20"/>
                    </w:rPr>
                    <w:t xml:space="preserve"> (II) and </w:t>
                  </w:r>
                  <w:proofErr w:type="spellStart"/>
                  <w:r>
                    <w:rPr>
                      <w:rFonts w:ascii="Times New Roman" w:eastAsia="Times New Roman" w:hAnsi="Times New Roman"/>
                      <w:sz w:val="20"/>
                      <w:szCs w:val="20"/>
                    </w:rPr>
                    <w:t>bistriflimide</w:t>
                  </w:r>
                  <w:proofErr w:type="spellEnd"/>
                  <w:r>
                    <w:rPr>
                      <w:rFonts w:ascii="Times New Roman" w:eastAsia="Times New Roman" w:hAnsi="Times New Roman"/>
                      <w:sz w:val="20"/>
                      <w:szCs w:val="20"/>
                    </w:rPr>
                    <w:t xml:space="preserve"> (III) were synthesized. X-ray diffraction measurements on single crystals of each of the ionic liquids demonstrated a unique structural organization of </w:t>
                  </w:r>
                  <w:proofErr w:type="spellStart"/>
                  <w:r>
                    <w:rPr>
                      <w:rFonts w:ascii="Times New Roman" w:eastAsia="Times New Roman" w:hAnsi="Times New Roman"/>
                      <w:sz w:val="20"/>
                      <w:szCs w:val="20"/>
                    </w:rPr>
                    <w:t>cations</w:t>
                  </w:r>
                  <w:proofErr w:type="spellEnd"/>
                  <w:r>
                    <w:rPr>
                      <w:rFonts w:ascii="Times New Roman" w:eastAsia="Times New Roman" w:hAnsi="Times New Roman"/>
                      <w:sz w:val="20"/>
                      <w:szCs w:val="20"/>
                    </w:rPr>
                    <w:t xml:space="preserve"> and anions. The nature of the π-π interaction between the phenyl-phenyl and phenyl-</w:t>
                  </w:r>
                  <w:proofErr w:type="spellStart"/>
                  <w:r>
                    <w:rPr>
                      <w:rFonts w:ascii="Times New Roman" w:eastAsia="Times New Roman" w:hAnsi="Times New Roman"/>
                      <w:sz w:val="20"/>
                      <w:szCs w:val="20"/>
                    </w:rPr>
                    <w:t>imidazolium</w:t>
                  </w:r>
                  <w:proofErr w:type="spellEnd"/>
                  <w:r>
                    <w:rPr>
                      <w:rFonts w:ascii="Times New Roman" w:eastAsia="Times New Roman" w:hAnsi="Times New Roman"/>
                      <w:sz w:val="20"/>
                      <w:szCs w:val="20"/>
                    </w:rPr>
                    <w:t xml:space="preserve"> rings and hydrogen bonding between the anion and the acidic hydrogen of </w:t>
                  </w:r>
                  <w:proofErr w:type="spellStart"/>
                  <w:r>
                    <w:rPr>
                      <w:rFonts w:ascii="Times New Roman" w:eastAsia="Times New Roman" w:hAnsi="Times New Roman"/>
                      <w:sz w:val="20"/>
                      <w:szCs w:val="20"/>
                    </w:rPr>
                    <w:t>imidazolium</w:t>
                  </w:r>
                  <w:proofErr w:type="spellEnd"/>
                  <w:r>
                    <w:rPr>
                      <w:rFonts w:ascii="Times New Roman" w:eastAsia="Times New Roman" w:hAnsi="Times New Roman"/>
                      <w:sz w:val="20"/>
                      <w:szCs w:val="20"/>
                    </w:rPr>
                    <w:t xml:space="preserve"> ring, are affected by the anion. Crystal I with the bromide ion has an additional interaction due to the presence of water molecules in the crystal lattice. Water molecules have strong interactions with bromide ions and also form hydrogen bonds with the acidic proton on the </w:t>
                  </w:r>
                  <w:proofErr w:type="spellStart"/>
                  <w:r>
                    <w:rPr>
                      <w:rFonts w:ascii="Times New Roman" w:eastAsia="Times New Roman" w:hAnsi="Times New Roman"/>
                      <w:sz w:val="20"/>
                      <w:szCs w:val="20"/>
                    </w:rPr>
                    <w:t>imidazolium</w:t>
                  </w:r>
                  <w:proofErr w:type="spellEnd"/>
                  <w:r>
                    <w:rPr>
                      <w:rFonts w:ascii="Times New Roman" w:eastAsia="Times New Roman" w:hAnsi="Times New Roman"/>
                      <w:sz w:val="20"/>
                      <w:szCs w:val="20"/>
                    </w:rPr>
                    <w:t xml:space="preserve"> ring. The size of the anion plays an essential role in the self-assembly of the ions in the crystal structure. The enthalpies of melting and melting temperatures of these systems will be correlated to differences in the crystal structures.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8"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2367955</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A Novel Technique for Energy Resolved Measurements of Gas Phase Ion Molecule Rearrangement and Decomposition Reaction Kinetics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proofErr w:type="spellStart"/>
                  <w:r>
                    <w:rPr>
                      <w:rFonts w:ascii="Times New Roman" w:eastAsia="Times New Roman" w:hAnsi="Times New Roman"/>
                      <w:sz w:val="20"/>
                      <w:szCs w:val="20"/>
                    </w:rPr>
                    <w:t>Zachry</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Theis</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zachry_theis@baylor.edu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proofErr w:type="spellStart"/>
                  <w:r>
                    <w:rPr>
                      <w:rFonts w:ascii="Times New Roman" w:eastAsia="Times New Roman" w:hAnsi="Times New Roman"/>
                      <w:sz w:val="20"/>
                      <w:szCs w:val="20"/>
                    </w:rPr>
                    <w:t>Zachry</w:t>
                  </w:r>
                  <w:proofErr w:type="spellEnd"/>
                  <w:r>
                    <w:rPr>
                      <w:rFonts w:ascii="Times New Roman" w:eastAsia="Times New Roman" w:hAnsi="Times New Roman"/>
                      <w:sz w:val="20"/>
                      <w:szCs w:val="20"/>
                    </w:rPr>
                    <w:t xml:space="preserve"> Theis</w:t>
                  </w:r>
                  <w:r>
                    <w:rPr>
                      <w:rFonts w:ascii="Times New Roman" w:eastAsia="Times New Roman" w:hAnsi="Times New Roman"/>
                      <w:sz w:val="20"/>
                      <w:szCs w:val="20"/>
                      <w:vertAlign w:val="superscript"/>
                    </w:rPr>
                    <w:t>2</w:t>
                  </w:r>
                  <w:r>
                    <w:rPr>
                      <w:rFonts w:ascii="Times New Roman" w:eastAsia="Times New Roman" w:hAnsi="Times New Roman"/>
                      <w:sz w:val="20"/>
                      <w:szCs w:val="20"/>
                    </w:rPr>
                    <w:t>, Adam Mansell</w:t>
                  </w:r>
                  <w:r>
                    <w:rPr>
                      <w:rFonts w:ascii="Times New Roman" w:eastAsia="Times New Roman" w:hAnsi="Times New Roman"/>
                      <w:sz w:val="20"/>
                      <w:szCs w:val="20"/>
                      <w:vertAlign w:val="superscript"/>
                    </w:rPr>
                    <w:t>3</w:t>
                  </w:r>
                  <w:r>
                    <w:rPr>
                      <w:rFonts w:ascii="Times New Roman" w:eastAsia="Times New Roman" w:hAnsi="Times New Roman"/>
                      <w:sz w:val="20"/>
                      <w:szCs w:val="20"/>
                    </w:rPr>
                    <w:t>, Darrin J. Bellert</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Baylor University, Waco, TX, United States. </w:t>
                  </w:r>
                  <w:r>
                    <w:rPr>
                      <w:rFonts w:ascii="Times New Roman" w:eastAsia="Times New Roman" w:hAnsi="Times New Roman"/>
                      <w:sz w:val="20"/>
                      <w:szCs w:val="20"/>
                    </w:rPr>
                    <w:br/>
                    <w:t xml:space="preserve">2. Chemistry Biochemistry, Baylor University, Waco, TX, United States. </w:t>
                  </w:r>
                  <w:r>
                    <w:rPr>
                      <w:rFonts w:ascii="Times New Roman" w:eastAsia="Times New Roman" w:hAnsi="Times New Roman"/>
                      <w:sz w:val="20"/>
                      <w:szCs w:val="20"/>
                    </w:rPr>
                    <w:br/>
                    <w:t xml:space="preserve">3. Chemistry/ Biochemistry, Baylor University, Waco,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Kinetic and dynamic studies of metal </w:t>
                  </w:r>
                  <w:proofErr w:type="spellStart"/>
                  <w:r>
                    <w:rPr>
                      <w:rFonts w:ascii="Times New Roman" w:eastAsia="Times New Roman" w:hAnsi="Times New Roman"/>
                      <w:sz w:val="20"/>
                      <w:szCs w:val="20"/>
                    </w:rPr>
                    <w:t>cations</w:t>
                  </w:r>
                  <w:proofErr w:type="spellEnd"/>
                  <w:r>
                    <w:rPr>
                      <w:rFonts w:ascii="Times New Roman" w:eastAsia="Times New Roman" w:hAnsi="Times New Roman"/>
                      <w:sz w:val="20"/>
                      <w:szCs w:val="20"/>
                    </w:rPr>
                    <w:t xml:space="preserve"> on organic substrates have long been important in elucidating the fundamental nature of reactions in organometallic chemistry. However, energy resolved measurements of these kinetic barriers can be difficult as they are often submerged with respect to separated reactant energies and require systems with </w:t>
                  </w:r>
                  <w:proofErr w:type="spellStart"/>
                  <w:r>
                    <w:rPr>
                      <w:rFonts w:ascii="Times New Roman" w:eastAsia="Times New Roman" w:hAnsi="Times New Roman"/>
                      <w:sz w:val="20"/>
                      <w:szCs w:val="20"/>
                    </w:rPr>
                    <w:t>well defined</w:t>
                  </w:r>
                  <w:proofErr w:type="spellEnd"/>
                  <w:r>
                    <w:rPr>
                      <w:rFonts w:ascii="Times New Roman" w:eastAsia="Times New Roman" w:hAnsi="Times New Roman"/>
                      <w:sz w:val="20"/>
                      <w:szCs w:val="20"/>
                    </w:rPr>
                    <w:t xml:space="preserve"> internal energy. Presented is a molecular beam apparatus designed to study single-photon initiated decomposition and rearrangement reactions (SPIDDR). The jet cooled ion-molecule encounter complex receives activation energy via single photon absorption allowing reaction product formation. Production of daughter fragment species is monitored to determine the </w:t>
                  </w:r>
                  <w:proofErr w:type="spellStart"/>
                  <w:r>
                    <w:rPr>
                      <w:rFonts w:ascii="Times New Roman" w:eastAsia="Times New Roman" w:hAnsi="Times New Roman"/>
                      <w:sz w:val="20"/>
                      <w:szCs w:val="20"/>
                    </w:rPr>
                    <w:t>microcanonical</w:t>
                  </w:r>
                  <w:proofErr w:type="spellEnd"/>
                  <w:r>
                    <w:rPr>
                      <w:rFonts w:ascii="Times New Roman" w:eastAsia="Times New Roman" w:hAnsi="Times New Roman"/>
                      <w:sz w:val="20"/>
                      <w:szCs w:val="20"/>
                    </w:rPr>
                    <w:t xml:space="preserve"> rate constant, </w:t>
                  </w:r>
                  <w:proofErr w:type="gramStart"/>
                  <w:r>
                    <w:rPr>
                      <w:rFonts w:ascii="Times New Roman" w:eastAsia="Times New Roman" w:hAnsi="Times New Roman"/>
                      <w:sz w:val="20"/>
                      <w:szCs w:val="20"/>
                    </w:rPr>
                    <w:t>k(</w:t>
                  </w:r>
                  <w:proofErr w:type="gramEnd"/>
                  <w:r>
                    <w:rPr>
                      <w:rFonts w:ascii="Times New Roman" w:eastAsia="Times New Roman" w:hAnsi="Times New Roman"/>
                      <w:sz w:val="20"/>
                      <w:szCs w:val="20"/>
                    </w:rPr>
                    <w:t>E). Deuterium-labeled organics are studied to gain mechanistic insights via the kinetic isotope effect.</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39"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2368000</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Energy Resolved Transition Metal Assisted Decomposition of Simple Organic Molecules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Adam Mansell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adam_mansell@baylor.edu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Adam Mansell</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Biochemistry, Baylor University, Waco,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The ability for transition metals to lower barriers in a reaction, and to facilitate selective product yield is widely utilized, but not fully understood. Our knowledge of how transition metals are able to facilitate the breaking and forming of chemical bonds has progressed substantially in recent decades due in large part to numerous ion beam type experiments. These gas phase experiments are able to probe the fundamental nature of reactions catalyzed by transition metals because of the unparalleled ability to study the reaction in a controlled environment free of complicating factors such as solvent effects.</w:t>
                  </w:r>
                  <w:r>
                    <w:rPr>
                      <w:rFonts w:ascii="Times New Roman" w:eastAsia="Times New Roman" w:hAnsi="Times New Roman"/>
                      <w:sz w:val="20"/>
                      <w:szCs w:val="20"/>
                    </w:rPr>
                    <w:br/>
                  </w:r>
                  <w:r>
                    <w:rPr>
                      <w:rFonts w:ascii="Times New Roman" w:eastAsia="Times New Roman" w:hAnsi="Times New Roman"/>
                      <w:sz w:val="20"/>
                      <w:szCs w:val="20"/>
                    </w:rPr>
                    <w:br/>
                    <w:t xml:space="preserve">Our group's research adds to this body of knowledge by utilizing a technique developed in our laboratory which allows us to monitor the decomposition of simple organics electrostatically bound to a single metal </w:t>
                  </w:r>
                  <w:proofErr w:type="spellStart"/>
                  <w:r>
                    <w:rPr>
                      <w:rFonts w:ascii="Times New Roman" w:eastAsia="Times New Roman" w:hAnsi="Times New Roman"/>
                      <w:sz w:val="20"/>
                      <w:szCs w:val="20"/>
                    </w:rPr>
                    <w:t>cation</w:t>
                  </w:r>
                  <w:proofErr w:type="spellEnd"/>
                  <w:r>
                    <w:rPr>
                      <w:rFonts w:ascii="Times New Roman" w:eastAsia="Times New Roman" w:hAnsi="Times New Roman"/>
                      <w:sz w:val="20"/>
                      <w:szCs w:val="20"/>
                    </w:rPr>
                    <w:t xml:space="preserve"> at resolved internal energies. Analysis of the temporal development of the products of these reactions allows us to parse out details of the reaction mechanism. Recent results from these experiments will be presented.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40"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2368130</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Single Photon Initiated Dissociative Rearrangement Reactions (SPIDRR) of Transition Metal Ion/Molecule Systems</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 xml:space="preserve">Darrin </w:t>
                  </w:r>
                  <w:proofErr w:type="spellStart"/>
                  <w:r>
                    <w:rPr>
                      <w:rFonts w:ascii="Times New Roman" w:eastAsia="Times New Roman" w:hAnsi="Times New Roman"/>
                      <w:sz w:val="20"/>
                      <w:szCs w:val="20"/>
                    </w:rPr>
                    <w:t>Bellert</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Darrin_Bellert@baylor.edu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Darrin J. Bellert</w:t>
                  </w:r>
                  <w:r>
                    <w:rPr>
                      <w:rFonts w:ascii="Times New Roman" w:eastAsia="Times New Roman" w:hAnsi="Times New Roman"/>
                      <w:sz w:val="20"/>
                      <w:szCs w:val="20"/>
                      <w:vertAlign w:val="superscript"/>
                    </w:rPr>
                    <w:t>1</w:t>
                  </w:r>
                  <w:r>
                    <w:rPr>
                      <w:rFonts w:ascii="Times New Roman" w:eastAsia="Times New Roman" w:hAnsi="Times New Roman"/>
                      <w:sz w:val="20"/>
                      <w:szCs w:val="20"/>
                    </w:rPr>
                    <w:t>, Adam Mansell</w:t>
                  </w:r>
                  <w:r>
                    <w:rPr>
                      <w:rFonts w:ascii="Times New Roman" w:eastAsia="Times New Roman" w:hAnsi="Times New Roman"/>
                      <w:sz w:val="20"/>
                      <w:szCs w:val="20"/>
                      <w:vertAlign w:val="superscript"/>
                    </w:rPr>
                    <w:t>3</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Zachry</w:t>
                  </w:r>
                  <w:proofErr w:type="spellEnd"/>
                  <w:r>
                    <w:rPr>
                      <w:rFonts w:ascii="Times New Roman" w:eastAsia="Times New Roman" w:hAnsi="Times New Roman"/>
                      <w:sz w:val="20"/>
                      <w:szCs w:val="20"/>
                    </w:rPr>
                    <w:t xml:space="preserve"> Theis</w:t>
                  </w:r>
                  <w:r>
                    <w:rPr>
                      <w:rFonts w:ascii="Times New Roman" w:eastAsia="Times New Roman" w:hAnsi="Times New Roman"/>
                      <w:sz w:val="20"/>
                      <w:szCs w:val="20"/>
                      <w:vertAlign w:val="superscript"/>
                    </w:rPr>
                    <w:t>2</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Baylor University, Waco, TX, United States. </w:t>
                  </w:r>
                  <w:r>
                    <w:rPr>
                      <w:rFonts w:ascii="Times New Roman" w:eastAsia="Times New Roman" w:hAnsi="Times New Roman"/>
                      <w:sz w:val="20"/>
                      <w:szCs w:val="20"/>
                    </w:rPr>
                    <w:br/>
                    <w:t xml:space="preserve">2. Chemistry Biochemistry, Baylor University, Waco, TX, United States. </w:t>
                  </w:r>
                  <w:r>
                    <w:rPr>
                      <w:rFonts w:ascii="Times New Roman" w:eastAsia="Times New Roman" w:hAnsi="Times New Roman"/>
                      <w:sz w:val="20"/>
                      <w:szCs w:val="20"/>
                    </w:rPr>
                    <w:br/>
                    <w:t xml:space="preserve">3. Chemistry/ Biochemistry, Baylor University, Waco,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Gaseous reactions between transition metal ions with organic molecules have been studied for decades as these represent idealized systems that demonstrate catalytic action. These studies have primarily been the province of guided ion beam and ion cyclotron techniques. Indeed, a wealth of thermochemical data has been recorded for ion/molecule reactions. However, these traditional techniques are far less apt at describing the reaction kinetics and dynamics of such systems. This is particularly true when the kinetic barriers that separate reactants from products are at energies below the separated reactants (typically </w:t>
                  </w:r>
                  <w:proofErr w:type="spellStart"/>
                  <w:r>
                    <w:rPr>
                      <w:rFonts w:ascii="Times New Roman" w:eastAsia="Times New Roman" w:hAnsi="Times New Roman"/>
                      <w:sz w:val="20"/>
                      <w:szCs w:val="20"/>
                    </w:rPr>
                    <w:t>deamed</w:t>
                  </w:r>
                  <w:proofErr w:type="spellEnd"/>
                  <w:r>
                    <w:rPr>
                      <w:rFonts w:ascii="Times New Roman" w:eastAsia="Times New Roman" w:hAnsi="Times New Roman"/>
                      <w:sz w:val="20"/>
                      <w:szCs w:val="20"/>
                    </w:rPr>
                    <w:t xml:space="preserve"> submerged barriers). These reactions occur at the collision frequency and despite their obvious significance to catalysis, have yet to suffer significant experimental exploration. </w:t>
                  </w:r>
                  <w:r>
                    <w:rPr>
                      <w:rFonts w:ascii="Times New Roman" w:eastAsia="Times New Roman" w:hAnsi="Times New Roman"/>
                      <w:sz w:val="20"/>
                      <w:szCs w:val="20"/>
                    </w:rPr>
                    <w:br/>
                  </w:r>
                  <w:r>
                    <w:rPr>
                      <w:rFonts w:ascii="Times New Roman" w:eastAsia="Times New Roman" w:hAnsi="Times New Roman"/>
                      <w:sz w:val="20"/>
                      <w:szCs w:val="20"/>
                    </w:rPr>
                    <w:br/>
                    <w:t xml:space="preserve">This presentation describes our current progress at quantifying aspects of exothermic, idealized ion/molecule reactions </w:t>
                  </w:r>
                  <w:proofErr w:type="spellStart"/>
                  <w:r>
                    <w:rPr>
                      <w:rFonts w:ascii="Times New Roman" w:eastAsia="Times New Roman" w:hAnsi="Times New Roman"/>
                      <w:sz w:val="20"/>
                      <w:szCs w:val="20"/>
                    </w:rPr>
                    <w:t>where</w:t>
                  </w:r>
                  <w:proofErr w:type="spellEnd"/>
                  <w:r>
                    <w:rPr>
                      <w:rFonts w:ascii="Times New Roman" w:eastAsia="Times New Roman" w:hAnsi="Times New Roman"/>
                      <w:sz w:val="20"/>
                      <w:szCs w:val="20"/>
                    </w:rPr>
                    <w:t xml:space="preserve"> submerged barriers control the reaction kinetics and dynamics. This is accomplished by freezing the reactants as a binary cluster in a supersonic expanding beam. The cluster absorbs a photon of laser energy to overcome submerged kinetic barriers and progress to products. The charged dissociative products are monitored in real time in a modified time of flight mass spectrometer, providing a direct measurement of reaction kinetics at well-specified cluster energies. Recent results for transition metal mediated aldehyde decomposition reactions will be presented. </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41"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2368487</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 xml:space="preserve">On Complex Fluids and Diffusion Law a </w:t>
                  </w:r>
                  <w:proofErr w:type="spellStart"/>
                  <w:r>
                    <w:rPr>
                      <w:rFonts w:ascii="Times New Roman" w:eastAsia="Times New Roman" w:hAnsi="Times New Roman"/>
                      <w:sz w:val="20"/>
                      <w:szCs w:val="20"/>
                    </w:rPr>
                    <w:t>capite</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ad</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calcem</w:t>
                  </w:r>
                  <w:proofErr w:type="spellEnd"/>
                  <w:r>
                    <w:rPr>
                      <w:rFonts w:ascii="Times New Roman" w:eastAsia="Times New Roman" w:hAnsi="Times New Roman"/>
                      <w:sz w:val="20"/>
                      <w:szCs w:val="20"/>
                    </w:rPr>
                    <w:t xml:space="preserve"> in Concentration</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proofErr w:type="spellStart"/>
                  <w:r>
                    <w:rPr>
                      <w:rFonts w:ascii="Times New Roman" w:eastAsia="Times New Roman" w:hAnsi="Times New Roman"/>
                      <w:sz w:val="20"/>
                      <w:szCs w:val="20"/>
                    </w:rPr>
                    <w:t>Kal</w:t>
                  </w:r>
                  <w:proofErr w:type="spellEnd"/>
                  <w:r>
                    <w:rPr>
                      <w:rFonts w:ascii="Times New Roman" w:eastAsia="Times New Roman" w:hAnsi="Times New Roman"/>
                      <w:sz w:val="20"/>
                      <w:szCs w:val="20"/>
                    </w:rPr>
                    <w:t xml:space="preserve"> Sharma</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jyoti_kalpika@yahoo.com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proofErr w:type="spellStart"/>
                  <w:r>
                    <w:rPr>
                      <w:rFonts w:ascii="Times New Roman" w:eastAsia="Times New Roman" w:hAnsi="Times New Roman"/>
                      <w:sz w:val="20"/>
                      <w:szCs w:val="20"/>
                    </w:rPr>
                    <w:t>Kal</w:t>
                  </w:r>
                  <w:proofErr w:type="spellEnd"/>
                  <w:r>
                    <w:rPr>
                      <w:rFonts w:ascii="Times New Roman" w:eastAsia="Times New Roman" w:hAnsi="Times New Roman"/>
                      <w:sz w:val="20"/>
                      <w:szCs w:val="20"/>
                    </w:rPr>
                    <w:t xml:space="preserve"> R. Sharma</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Electrical Program, San Jacinto College Central Campus, Cypress, TX,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Poster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br/>
                    <w:t>Polymer fluids behave in a different manner compared with Newtonian fluids. “Elastic” effects have been found when the polymer fluid was made to flow. Maxwell’s viscoelastic model can be written as Eq. (3b) and seen to be an extension of Newton’s law of viscosity given by Eq. (3a). Sharma (4) has shown from heat transfer analogy that the relaxation time (momentum) is a measure of the acceleration time taken by the moving free electron before attainment of steady drift velocity. It was also shown to be a third of the collision time of the electron and obstacle. Sharma4 discussed how poor use of initial conditions can result in model</w:t>
                  </w:r>
                  <w:r>
                    <w:rPr>
                      <w:rFonts w:ascii="Times New Roman" w:eastAsia="Times New Roman" w:hAnsi="Times New Roman"/>
                      <w:sz w:val="20"/>
                      <w:szCs w:val="20"/>
                    </w:rPr>
                    <w:br/>
                    <w:t xml:space="preserve">solutions that may be in dissonance with the second law of thermodynamics using Eq. (3b). A de novo equation to describe mass diffusion is derived from Gibbs chemical potential formulation for a nonrelativistic solute particle. The acceleration term eliminated between the equation of motion for the </w:t>
                  </w:r>
                  <w:proofErr w:type="spellStart"/>
                  <w:r>
                    <w:rPr>
                      <w:rFonts w:ascii="Times New Roman" w:eastAsia="Times New Roman" w:hAnsi="Times New Roman"/>
                      <w:sz w:val="20"/>
                      <w:szCs w:val="20"/>
                    </w:rPr>
                    <w:t>spinless</w:t>
                  </w:r>
                  <w:proofErr w:type="spellEnd"/>
                  <w:r>
                    <w:rPr>
                      <w:rFonts w:ascii="Times New Roman" w:eastAsia="Times New Roman" w:hAnsi="Times New Roman"/>
                      <w:sz w:val="20"/>
                      <w:szCs w:val="20"/>
                    </w:rPr>
                    <w:t xml:space="preserve"> particle and accumulation of chemical potential formulation leads to an equation for mass diffusion that is a </w:t>
                  </w:r>
                  <w:proofErr w:type="spellStart"/>
                  <w:r>
                    <w:rPr>
                      <w:rFonts w:ascii="Times New Roman" w:eastAsia="Times New Roman" w:hAnsi="Times New Roman"/>
                      <w:sz w:val="20"/>
                      <w:szCs w:val="20"/>
                    </w:rPr>
                    <w:t>capite</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ad</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calcem</w:t>
                  </w:r>
                  <w:proofErr w:type="spellEnd"/>
                  <w:r>
                    <w:rPr>
                      <w:rFonts w:ascii="Times New Roman" w:eastAsia="Times New Roman" w:hAnsi="Times New Roman"/>
                      <w:sz w:val="20"/>
                      <w:szCs w:val="20"/>
                    </w:rPr>
                    <w:t xml:space="preserve"> in concentration (Eq. (3.8)). The </w:t>
                  </w:r>
                  <w:proofErr w:type="spellStart"/>
                  <w:r>
                    <w:rPr>
                      <w:rFonts w:ascii="Times New Roman" w:eastAsia="Times New Roman" w:hAnsi="Times New Roman"/>
                      <w:sz w:val="20"/>
                      <w:szCs w:val="20"/>
                    </w:rPr>
                    <w:t>dC</w:t>
                  </w:r>
                  <w:proofErr w:type="spellEnd"/>
                  <w:r>
                    <w:rPr>
                      <w:rFonts w:ascii="Times New Roman" w:eastAsia="Times New Roman" w:hAnsi="Times New Roman"/>
                      <w:sz w:val="20"/>
                      <w:szCs w:val="20"/>
                    </w:rPr>
                    <w:t>/</w:t>
                  </w:r>
                  <w:proofErr w:type="spellStart"/>
                  <w:r>
                    <w:rPr>
                      <w:rFonts w:ascii="Times New Roman" w:eastAsia="Times New Roman" w:hAnsi="Times New Roman"/>
                      <w:sz w:val="20"/>
                      <w:szCs w:val="20"/>
                    </w:rPr>
                    <w:t>dt</w:t>
                  </w:r>
                  <w:proofErr w:type="spellEnd"/>
                  <w:r>
                    <w:rPr>
                      <w:rFonts w:ascii="Times New Roman" w:eastAsia="Times New Roman" w:hAnsi="Times New Roman"/>
                      <w:sz w:val="20"/>
                      <w:szCs w:val="20"/>
                    </w:rPr>
                    <w:t xml:space="preserve">, the time derivative of concentration, and </w:t>
                  </w:r>
                  <w:proofErr w:type="spellStart"/>
                  <w:r>
                    <w:rPr>
                      <w:rFonts w:ascii="Times New Roman" w:eastAsia="Times New Roman" w:hAnsi="Times New Roman"/>
                      <w:sz w:val="20"/>
                      <w:szCs w:val="20"/>
                    </w:rPr>
                    <w:t>dC</w:t>
                  </w:r>
                  <w:proofErr w:type="spellEnd"/>
                  <w:r>
                    <w:rPr>
                      <w:rFonts w:ascii="Times New Roman" w:eastAsia="Times New Roman" w:hAnsi="Times New Roman"/>
                      <w:sz w:val="20"/>
                      <w:szCs w:val="20"/>
                    </w:rPr>
                    <w:t>/dx, the spatial gradient of concentration, can either be “</w:t>
                  </w:r>
                  <w:proofErr w:type="gramStart"/>
                  <w:r>
                    <w:rPr>
                      <w:rFonts w:ascii="Times New Roman" w:eastAsia="Times New Roman" w:hAnsi="Times New Roman"/>
                      <w:sz w:val="20"/>
                      <w:szCs w:val="20"/>
                    </w:rPr>
                    <w:t>both positive” or</w:t>
                  </w:r>
                  <w:proofErr w:type="gramEnd"/>
                  <w:r>
                    <w:rPr>
                      <w:rFonts w:ascii="Times New Roman" w:eastAsia="Times New Roman" w:hAnsi="Times New Roman"/>
                      <w:sz w:val="20"/>
                      <w:szCs w:val="20"/>
                    </w:rPr>
                    <w:t xml:space="preserve"> “both negative” but never one positive and one negative for spontaneous mass diffusion events. . Jeffrey’s equation for fluids is given in Eq. (3c).</w:t>
                  </w:r>
                  <w:r>
                    <w:rPr>
                      <w:rFonts w:ascii="Times New Roman" w:eastAsia="Times New Roman" w:hAnsi="Times New Roman"/>
                      <w:sz w:val="20"/>
                      <w:szCs w:val="20"/>
                    </w:rPr>
                    <w:br/>
                  </w:r>
                  <w:r>
                    <w:rPr>
                      <w:rFonts w:ascii="Times New Roman" w:eastAsia="Times New Roman" w:hAnsi="Times New Roman"/>
                      <w:sz w:val="20"/>
                      <w:szCs w:val="20"/>
                    </w:rPr>
                    <w:br/>
                    <w:t xml:space="preserve">The transient concentration in a semi-infinite medium subject to a step-change in surface concentration using the de novo diffusion equation was obtained. The method of Laplace transforms, binomial series expansion and principle of convolution were used, and an approximate solution was obtained. In Figure 3.2 is shown the side-by-side </w:t>
                  </w:r>
                  <w:proofErr w:type="spellStart"/>
                  <w:r>
                    <w:rPr>
                      <w:rFonts w:ascii="Times New Roman" w:eastAsia="Times New Roman" w:hAnsi="Times New Roman"/>
                      <w:sz w:val="20"/>
                      <w:szCs w:val="20"/>
                    </w:rPr>
                    <w:t>compar-isons</w:t>
                  </w:r>
                  <w:proofErr w:type="spellEnd"/>
                  <w:r>
                    <w:rPr>
                      <w:rFonts w:ascii="Times New Roman" w:eastAsia="Times New Roman" w:hAnsi="Times New Roman"/>
                      <w:sz w:val="20"/>
                      <w:szCs w:val="20"/>
                    </w:rPr>
                    <w:t xml:space="preserve"> of transient concentration profile in a semi-infinite medium subject to step-change in surface concentration from (</w:t>
                  </w:r>
                  <w:proofErr w:type="spellStart"/>
                  <w:r>
                    <w:rPr>
                      <w:rFonts w:ascii="Times New Roman" w:eastAsia="Times New Roman" w:hAnsi="Times New Roman"/>
                      <w:sz w:val="20"/>
                      <w:szCs w:val="20"/>
                    </w:rPr>
                    <w:t>i</w:t>
                  </w:r>
                  <w:proofErr w:type="spellEnd"/>
                  <w:r>
                    <w:rPr>
                      <w:rFonts w:ascii="Times New Roman" w:eastAsia="Times New Roman" w:hAnsi="Times New Roman"/>
                      <w:sz w:val="20"/>
                      <w:szCs w:val="20"/>
                    </w:rPr>
                    <w:t>) parabolic Fick diffusion model, (ii) hyperbolic Maxwell-</w:t>
                  </w:r>
                  <w:proofErr w:type="spellStart"/>
                  <w:r>
                    <w:rPr>
                      <w:rFonts w:ascii="Times New Roman" w:eastAsia="Times New Roman" w:hAnsi="Times New Roman"/>
                      <w:sz w:val="20"/>
                      <w:szCs w:val="20"/>
                    </w:rPr>
                    <w:t>Cattaneo</w:t>
                  </w:r>
                  <w:proofErr w:type="spellEnd"/>
                  <w:r>
                    <w:rPr>
                      <w:rFonts w:ascii="Times New Roman" w:eastAsia="Times New Roman" w:hAnsi="Times New Roman"/>
                      <w:sz w:val="20"/>
                      <w:szCs w:val="20"/>
                    </w:rPr>
                    <w:t xml:space="preserve"> diffusion and relaxation model, and (iii) ballistic model for diffusion.</w:t>
                  </w:r>
                  <w:r>
                    <w:rPr>
                      <w:rFonts w:ascii="Times New Roman" w:eastAsia="Times New Roman" w:hAnsi="Times New Roman"/>
                      <w:sz w:val="20"/>
                      <w:szCs w:val="20"/>
                    </w:rPr>
                    <w:br/>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42"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2368845</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Adsorption Studies of Water and Methanol on a Metal Phosphide Surface</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Heather Abbott-Lyon</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hlabbott@gmail.com</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Heather L. Abbott-Lyon</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and Biochemistry, Kennesaw State University, Atlanta, GA,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The meteoritic mineral </w:t>
                  </w:r>
                  <w:proofErr w:type="spellStart"/>
                  <w:r>
                    <w:rPr>
                      <w:rFonts w:ascii="Times New Roman" w:eastAsia="Times New Roman" w:hAnsi="Times New Roman"/>
                      <w:sz w:val="20"/>
                      <w:szCs w:val="20"/>
                    </w:rPr>
                    <w:t>schreibersite</w:t>
                  </w:r>
                  <w:proofErr w:type="spellEnd"/>
                  <w:r>
                    <w:rPr>
                      <w:rFonts w:ascii="Times New Roman" w:eastAsia="Times New Roman" w:hAnsi="Times New Roman"/>
                      <w:sz w:val="20"/>
                      <w:szCs w:val="20"/>
                    </w:rPr>
                    <w:t xml:space="preserve">, an iron-nickel phosphide, is hypothesized to have been the mineral source of phosphorus for prebiotic chemistry on the Early Earth. However, the mechanism of phosphorylation by </w:t>
                  </w:r>
                  <w:proofErr w:type="spellStart"/>
                  <w:r>
                    <w:rPr>
                      <w:rFonts w:ascii="Times New Roman" w:eastAsia="Times New Roman" w:hAnsi="Times New Roman"/>
                      <w:sz w:val="20"/>
                      <w:szCs w:val="20"/>
                    </w:rPr>
                    <w:t>schreibersite</w:t>
                  </w:r>
                  <w:proofErr w:type="spellEnd"/>
                  <w:r>
                    <w:rPr>
                      <w:rFonts w:ascii="Times New Roman" w:eastAsia="Times New Roman" w:hAnsi="Times New Roman"/>
                      <w:sz w:val="20"/>
                      <w:szCs w:val="20"/>
                    </w:rPr>
                    <w:t xml:space="preserve"> is currently unknown. In particular, the role that the mineral surface plays in these reactions is unclear. In an effort to understand the corrosion of </w:t>
                  </w:r>
                  <w:proofErr w:type="spellStart"/>
                  <w:r>
                    <w:rPr>
                      <w:rFonts w:ascii="Times New Roman" w:eastAsia="Times New Roman" w:hAnsi="Times New Roman"/>
                      <w:sz w:val="20"/>
                      <w:szCs w:val="20"/>
                    </w:rPr>
                    <w:t>schreibersite</w:t>
                  </w:r>
                  <w:proofErr w:type="spellEnd"/>
                  <w:r>
                    <w:rPr>
                      <w:rFonts w:ascii="Times New Roman" w:eastAsia="Times New Roman" w:hAnsi="Times New Roman"/>
                      <w:sz w:val="20"/>
                      <w:szCs w:val="20"/>
                    </w:rPr>
                    <w:t xml:space="preserve"> in aqueous organic solutions, thin films of water and methanol on a synthetic </w:t>
                  </w:r>
                  <w:proofErr w:type="spellStart"/>
                  <w:r>
                    <w:rPr>
                      <w:rFonts w:ascii="Times New Roman" w:eastAsia="Times New Roman" w:hAnsi="Times New Roman"/>
                      <w:sz w:val="20"/>
                      <w:szCs w:val="20"/>
                    </w:rPr>
                    <w:t>schreibersite</w:t>
                  </w:r>
                  <w:proofErr w:type="spellEnd"/>
                  <w:r>
                    <w:rPr>
                      <w:rFonts w:ascii="Times New Roman" w:eastAsia="Times New Roman" w:hAnsi="Times New Roman"/>
                      <w:sz w:val="20"/>
                      <w:szCs w:val="20"/>
                    </w:rPr>
                    <w:t xml:space="preserve"> surface (Fe</w:t>
                  </w:r>
                  <w:r>
                    <w:rPr>
                      <w:rFonts w:ascii="Times New Roman" w:eastAsia="Times New Roman" w:hAnsi="Times New Roman"/>
                      <w:sz w:val="20"/>
                      <w:szCs w:val="20"/>
                      <w:vertAlign w:val="subscript"/>
                    </w:rPr>
                    <w:t>2</w:t>
                  </w:r>
                  <w:r>
                    <w:rPr>
                      <w:rFonts w:ascii="Times New Roman" w:eastAsia="Times New Roman" w:hAnsi="Times New Roman"/>
                      <w:sz w:val="20"/>
                      <w:szCs w:val="20"/>
                    </w:rPr>
                    <w:t xml:space="preserve">NiP) have been studied. </w:t>
                  </w:r>
                  <w:proofErr w:type="spellStart"/>
                  <w:r>
                    <w:rPr>
                      <w:rFonts w:ascii="Times New Roman" w:eastAsia="Times New Roman" w:hAnsi="Times New Roman"/>
                      <w:sz w:val="20"/>
                      <w:szCs w:val="20"/>
                    </w:rPr>
                    <w:t>Schreibersite</w:t>
                  </w:r>
                  <w:proofErr w:type="spellEnd"/>
                  <w:r>
                    <w:rPr>
                      <w:rFonts w:ascii="Times New Roman" w:eastAsia="Times New Roman" w:hAnsi="Times New Roman"/>
                      <w:sz w:val="20"/>
                      <w:szCs w:val="20"/>
                    </w:rPr>
                    <w:t xml:space="preserve"> surfaces were analyzed by Scanning Electron Microscopy (SEM) before and after polishing to determine surface roughness and elemental composition. Subsequently, these samples were examined in an ultrahigh vacuum chamber using Reflection-Absorption Infrared Spectroscopy (RAIRS) and Temperature Programmed Desorption (TPD). Features corresponding to multilayers are clearly identifiable in both RAIRS and TPD spectra, while sub-monolayer peaks are more challenging to assign.</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43"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2368987</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TITLE: Nature of Metal Ion Mediated Second Shell Hydrogen Bonds</w:t>
                  </w:r>
                  <w:r>
                    <w:rPr>
                      <w:rFonts w:ascii="Times New Roman" w:eastAsia="Times New Roman" w:hAnsi="Times New Roman"/>
                      <w:sz w:val="20"/>
                      <w:szCs w:val="20"/>
                    </w:rPr>
                    <w:br/>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 xml:space="preserve">Dhruva </w:t>
                  </w:r>
                  <w:proofErr w:type="spellStart"/>
                  <w:r>
                    <w:rPr>
                      <w:rFonts w:ascii="Times New Roman" w:eastAsia="Times New Roman" w:hAnsi="Times New Roman"/>
                      <w:sz w:val="20"/>
                      <w:szCs w:val="20"/>
                    </w:rPr>
                    <w:t>Chakravorty</w:t>
                  </w:r>
                  <w:proofErr w:type="spellEnd"/>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chakravorty@hpc.ufl.edu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Dhruva Chakravorty</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Chemical Sciences Building, University of New Orleans, New Orleans, LA,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Only</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 xml:space="preserve">We investigate the role of induction effects in a zinc ion mediated second-shell hydrogen bond that plays a critical role in the mechanism of allosteric regulation in the paradigm sensor protein </w:t>
                  </w:r>
                  <w:r>
                    <w:rPr>
                      <w:rFonts w:ascii="Times New Roman" w:eastAsia="Times New Roman" w:hAnsi="Times New Roman"/>
                      <w:i/>
                      <w:iCs/>
                      <w:sz w:val="20"/>
                      <w:szCs w:val="20"/>
                    </w:rPr>
                    <w:t>Staphylococcus aureus</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CzrA</w:t>
                  </w:r>
                  <w:proofErr w:type="spellEnd"/>
                  <w:r>
                    <w:rPr>
                      <w:rFonts w:ascii="Times New Roman" w:eastAsia="Times New Roman" w:hAnsi="Times New Roman"/>
                      <w:sz w:val="20"/>
                      <w:szCs w:val="20"/>
                    </w:rPr>
                    <w:t xml:space="preserve">. Using a model of the metal-binding site of </w:t>
                  </w:r>
                  <w:proofErr w:type="spellStart"/>
                  <w:r>
                    <w:rPr>
                      <w:rFonts w:ascii="Times New Roman" w:eastAsia="Times New Roman" w:hAnsi="Times New Roman"/>
                      <w:sz w:val="20"/>
                      <w:szCs w:val="20"/>
                    </w:rPr>
                    <w:t>CzrA</w:t>
                  </w:r>
                  <w:proofErr w:type="spellEnd"/>
                  <w:r>
                    <w:rPr>
                      <w:rFonts w:ascii="Times New Roman" w:eastAsia="Times New Roman" w:hAnsi="Times New Roman"/>
                      <w:sz w:val="20"/>
                      <w:szCs w:val="20"/>
                    </w:rPr>
                    <w:t xml:space="preserve">, we show via Natural Bond Order (NBO) and Symmetry-Adapted Perturbation Theory (SAPT) calculations that charge the charge transfer (CT) effect withdraws greater charge from atoms participating in hydrogen bonding in the presence of </w:t>
                  </w:r>
                  <w:proofErr w:type="gramStart"/>
                  <w:r>
                    <w:rPr>
                      <w:rFonts w:ascii="Times New Roman" w:eastAsia="Times New Roman" w:hAnsi="Times New Roman"/>
                      <w:sz w:val="20"/>
                      <w:szCs w:val="20"/>
                    </w:rPr>
                    <w:t>Zn(</w:t>
                  </w:r>
                  <w:proofErr w:type="gramEnd"/>
                  <w:r>
                    <w:rPr>
                      <w:rFonts w:ascii="Times New Roman" w:eastAsia="Times New Roman" w:hAnsi="Times New Roman"/>
                      <w:sz w:val="20"/>
                      <w:szCs w:val="20"/>
                    </w:rPr>
                    <w:t xml:space="preserve">II) than in the </w:t>
                  </w:r>
                  <w:proofErr w:type="spellStart"/>
                  <w:r>
                    <w:rPr>
                      <w:rFonts w:ascii="Times New Roman" w:eastAsia="Times New Roman" w:hAnsi="Times New Roman"/>
                      <w:sz w:val="20"/>
                      <w:szCs w:val="20"/>
                    </w:rPr>
                    <w:t>apo</w:t>
                  </w:r>
                  <w:proofErr w:type="spellEnd"/>
                  <w:r>
                    <w:rPr>
                      <w:rFonts w:ascii="Times New Roman" w:eastAsia="Times New Roman" w:hAnsi="Times New Roman"/>
                      <w:sz w:val="20"/>
                      <w:szCs w:val="20"/>
                    </w:rPr>
                    <w:t xml:space="preserve"> state. Preliminary results suggest that polarization may play a significant role in helping strengthen the metal ion mediated hydrogen bond in </w:t>
                  </w:r>
                  <w:proofErr w:type="spellStart"/>
                  <w:r>
                    <w:rPr>
                      <w:rFonts w:ascii="Times New Roman" w:eastAsia="Times New Roman" w:hAnsi="Times New Roman"/>
                      <w:sz w:val="20"/>
                      <w:szCs w:val="20"/>
                    </w:rPr>
                    <w:t>CzrA</w:t>
                  </w:r>
                  <w:proofErr w:type="spellEnd"/>
                  <w:r>
                    <w:rPr>
                      <w:rFonts w:ascii="Times New Roman" w:eastAsia="Times New Roman" w:hAnsi="Times New Roman"/>
                      <w:sz w:val="20"/>
                      <w:szCs w:val="20"/>
                    </w:rPr>
                    <w:t>.</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pPr>
              <w:spacing w:after="240" w:line="240" w:lineRule="auto"/>
              <w:rPr>
                <w:rFonts w:ascii="Times New Roman" w:eastAsia="Times New Roman" w:hAnsi="Times New Roman"/>
                <w:sz w:val="24"/>
                <w:szCs w:val="24"/>
              </w:rPr>
            </w:pPr>
          </w:p>
          <w:p w:rsidR="005242B8" w:rsidRDefault="005242B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644" style="width:468pt;height:1.5pt" o:hralign="center" o:hrstd="t" o:hr="t" fillcolor="#a0a0a0" stroked="f"/>
              </w:pict>
            </w:r>
          </w:p>
        </w:tc>
      </w:tr>
      <w:tr w:rsidR="005242B8" w:rsidTr="005242B8">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PROGRAM AREA NAME: </w:t>
                  </w:r>
                  <w:r>
                    <w:rPr>
                      <w:rFonts w:ascii="Times New Roman" w:eastAsia="Times New Roman" w:hAnsi="Times New Roman"/>
                      <w:sz w:val="20"/>
                      <w:szCs w:val="20"/>
                    </w:rPr>
                    <w:t>2015 Joint Southeastern/Southwest Regional Meeting</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SYMPOSIUM NAME: </w:t>
                  </w:r>
                  <w:r>
                    <w:rPr>
                      <w:rFonts w:ascii="Times New Roman" w:eastAsia="Times New Roman" w:hAnsi="Times New Roman"/>
                      <w:sz w:val="20"/>
                      <w:szCs w:val="20"/>
                    </w:rPr>
                    <w:t>General Physical Chemistry - Oral</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CONTROL ID: </w:t>
                  </w:r>
                  <w:r>
                    <w:rPr>
                      <w:rFonts w:ascii="Times New Roman" w:eastAsia="Times New Roman" w:hAnsi="Times New Roman"/>
                      <w:sz w:val="20"/>
                      <w:szCs w:val="20"/>
                    </w:rPr>
                    <w:t>2369006</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TITLE: </w:t>
                  </w:r>
                  <w:r>
                    <w:rPr>
                      <w:rFonts w:ascii="Times New Roman" w:eastAsia="Times New Roman" w:hAnsi="Times New Roman"/>
                      <w:sz w:val="20"/>
                      <w:szCs w:val="20"/>
                    </w:rPr>
                    <w:t>On the importance of conformational analysis for accurate prediction of molecular properties</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w:t>
                  </w:r>
                  <w:r>
                    <w:rPr>
                      <w:rFonts w:ascii="Times New Roman" w:eastAsia="Times New Roman" w:hAnsi="Times New Roman"/>
                      <w:sz w:val="20"/>
                      <w:szCs w:val="20"/>
                    </w:rPr>
                    <w:t>William Alexander</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PRESENTER (E-MAIL ONLY): </w:t>
                  </w:r>
                  <w:r>
                    <w:rPr>
                      <w:rFonts w:ascii="Times New Roman" w:eastAsia="Times New Roman" w:hAnsi="Times New Roman"/>
                      <w:sz w:val="20"/>
                      <w:szCs w:val="20"/>
                    </w:rPr>
                    <w:t>w.alexander@memphis.edu</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AUTHORS (FIRST NAME, LAST NAME): </w:t>
                  </w:r>
                  <w:r>
                    <w:rPr>
                      <w:rFonts w:ascii="Times New Roman" w:eastAsia="Times New Roman" w:hAnsi="Times New Roman"/>
                      <w:sz w:val="20"/>
                      <w:szCs w:val="20"/>
                    </w:rPr>
                    <w:t>William A. Alexander</w:t>
                  </w:r>
                  <w:r>
                    <w:rPr>
                      <w:rFonts w:ascii="Times New Roman" w:eastAsia="Times New Roman" w:hAnsi="Times New Roman"/>
                      <w:sz w:val="20"/>
                      <w:szCs w:val="20"/>
                      <w:vertAlign w:val="superscript"/>
                    </w:rPr>
                    <w:t>1</w:t>
                  </w:r>
                  <w:r>
                    <w:rPr>
                      <w:rFonts w:ascii="Times New Roman" w:eastAsia="Times New Roman" w:hAnsi="Times New Roman"/>
                      <w:sz w:val="20"/>
                      <w:szCs w:val="20"/>
                    </w:rPr>
                    <w:t>, Katherine Charbonnet</w:t>
                  </w:r>
                  <w:r>
                    <w:rPr>
                      <w:rFonts w:ascii="Times New Roman" w:eastAsia="Times New Roman" w:hAnsi="Times New Roman"/>
                      <w:sz w:val="20"/>
                      <w:szCs w:val="20"/>
                      <w:vertAlign w:val="superscript"/>
                    </w:rPr>
                    <w:t>1</w:t>
                  </w:r>
                  <w:r>
                    <w:rPr>
                      <w:rFonts w:ascii="Times New Roman" w:eastAsia="Times New Roman" w:hAnsi="Times New Roman"/>
                      <w:sz w:val="20"/>
                      <w:szCs w:val="20"/>
                    </w:rPr>
                    <w:t>, Taylor Brown</w:t>
                  </w:r>
                  <w:r>
                    <w:rPr>
                      <w:rFonts w:ascii="Times New Roman" w:eastAsia="Times New Roman" w:hAnsi="Times New Roman"/>
                      <w:sz w:val="20"/>
                      <w:szCs w:val="20"/>
                      <w:vertAlign w:val="superscript"/>
                    </w:rPr>
                    <w:t>1</w:t>
                  </w:r>
                  <w:r>
                    <w:rPr>
                      <w:rFonts w:ascii="Times New Roman" w:eastAsia="Times New Roman" w:hAnsi="Times New Roman"/>
                      <w:sz w:val="20"/>
                      <w:szCs w:val="20"/>
                    </w:rPr>
                    <w:t>, Nathan J. Deyonker</w:t>
                  </w:r>
                  <w:r>
                    <w:rPr>
                      <w:rFonts w:ascii="Times New Roman" w:eastAsia="Times New Roman" w:hAnsi="Times New Roman"/>
                      <w:sz w:val="20"/>
                      <w:szCs w:val="20"/>
                      <w:vertAlign w:val="superscript"/>
                    </w:rPr>
                    <w:t>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INSTITUTIONS (ALL): </w:t>
                  </w:r>
                  <w:r>
                    <w:rPr>
                      <w:rFonts w:ascii="Times New Roman" w:eastAsia="Times New Roman" w:hAnsi="Times New Roman"/>
                      <w:sz w:val="20"/>
                      <w:szCs w:val="20"/>
                    </w:rPr>
                    <w:t xml:space="preserve">1. Chemistry, The University of Memphis, Memphis, TN, United States.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PRESENTATION TYPE: </w:t>
                  </w:r>
                  <w:r>
                    <w:rPr>
                      <w:rFonts w:ascii="Times New Roman" w:eastAsia="Times New Roman" w:hAnsi="Times New Roman"/>
                      <w:sz w:val="20"/>
                      <w:szCs w:val="20"/>
                    </w:rPr>
                    <w:t>Oral Preferred</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24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BODY: </w:t>
                  </w:r>
                  <w:r>
                    <w:rPr>
                      <w:rFonts w:ascii="Times New Roman" w:eastAsia="Times New Roman" w:hAnsi="Times New Roman"/>
                      <w:b/>
                      <w:bCs/>
                      <w:sz w:val="20"/>
                      <w:szCs w:val="20"/>
                    </w:rPr>
                    <w:br/>
                    <w:t xml:space="preserve">Abstract: </w:t>
                  </w:r>
                  <w:r>
                    <w:rPr>
                      <w:rFonts w:ascii="Times New Roman" w:eastAsia="Times New Roman" w:hAnsi="Times New Roman"/>
                      <w:sz w:val="20"/>
                      <w:szCs w:val="20"/>
                    </w:rPr>
                    <w:t>As part of the "second response" to the 2014 Elk River Chemical Spill in West Virginia, we employed various computational methods to predict physicochemical properties of the components of the spilled fluids, which mainly comprised oxidized cyclohexane derivatives. These compounds were poorly characterized and many of even the m</w:t>
                  </w:r>
                  <w:bookmarkStart w:id="0" w:name="_GoBack"/>
                  <w:bookmarkEnd w:id="0"/>
                  <w:r>
                    <w:rPr>
                      <w:rFonts w:ascii="Times New Roman" w:eastAsia="Times New Roman" w:hAnsi="Times New Roman"/>
                      <w:sz w:val="20"/>
                      <w:szCs w:val="20"/>
                    </w:rPr>
                    <w:t xml:space="preserve">ost basic of their molecular properties were unknown or unreported. In our investigation, we found that examination of only the global minimum structure was insufficient to explain observed experimental data. </w:t>
                  </w:r>
                  <w:proofErr w:type="gramStart"/>
                  <w:r>
                    <w:rPr>
                      <w:rFonts w:ascii="Times New Roman" w:eastAsia="Times New Roman" w:hAnsi="Times New Roman"/>
                      <w:sz w:val="20"/>
                      <w:szCs w:val="20"/>
                    </w:rPr>
                    <w:t>This disconnect</w:t>
                  </w:r>
                  <w:proofErr w:type="gramEnd"/>
                  <w:r>
                    <w:rPr>
                      <w:rFonts w:ascii="Times New Roman" w:eastAsia="Times New Roman" w:hAnsi="Times New Roman"/>
                      <w:sz w:val="20"/>
                      <w:szCs w:val="20"/>
                    </w:rPr>
                    <w:t xml:space="preserve"> with experiment hampers the ability to provide molecular property predictions with any confidence. However, with a complete accounting for all of the low lying geometric minima, we were able to reconcile our computational results with experimental fate and transport properties.</w:t>
                  </w:r>
                  <w:r>
                    <w:rPr>
                      <w:rFonts w:ascii="Times New Roman" w:eastAsia="Times New Roman" w:hAnsi="Times New Roman"/>
                      <w:sz w:val="20"/>
                      <w:szCs w:val="20"/>
                      <w:vertAlign w:val="superscript"/>
                    </w:rPr>
                    <w:t>1</w:t>
                  </w:r>
                  <w:r>
                    <w:rPr>
                      <w:rFonts w:ascii="Times New Roman" w:eastAsia="Times New Roman" w:hAnsi="Times New Roman"/>
                      <w:sz w:val="20"/>
                      <w:szCs w:val="20"/>
                    </w:rPr>
                    <w:t xml:space="preserve"> We will detail our methods and lessons learned from this case study, and generalize recommendations for similar efforts going forward.</w:t>
                  </w:r>
                  <w:r>
                    <w:rPr>
                      <w:rFonts w:ascii="Times New Roman" w:eastAsia="Times New Roman" w:hAnsi="Times New Roman"/>
                      <w:sz w:val="20"/>
                      <w:szCs w:val="20"/>
                    </w:rPr>
                    <w:br/>
                  </w:r>
                  <w:r>
                    <w:rPr>
                      <w:rFonts w:ascii="Times New Roman" w:eastAsia="Times New Roman" w:hAnsi="Times New Roman"/>
                      <w:sz w:val="20"/>
                      <w:szCs w:val="20"/>
                    </w:rPr>
                    <w:br/>
                    <w:t xml:space="preserve">(1) Dietrich, Thomas, Zhao, Smiley, </w:t>
                  </w:r>
                  <w:proofErr w:type="spellStart"/>
                  <w:r>
                    <w:rPr>
                      <w:rFonts w:ascii="Times New Roman" w:eastAsia="Times New Roman" w:hAnsi="Times New Roman"/>
                      <w:sz w:val="20"/>
                      <w:szCs w:val="20"/>
                    </w:rPr>
                    <w:t>Shanaiah</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Ahart</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Charbonnet</w:t>
                  </w:r>
                  <w:proofErr w:type="spellEnd"/>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DeYonker</w:t>
                  </w:r>
                  <w:proofErr w:type="spellEnd"/>
                  <w:r>
                    <w:rPr>
                      <w:rFonts w:ascii="Times New Roman" w:eastAsia="Times New Roman" w:hAnsi="Times New Roman"/>
                      <w:sz w:val="20"/>
                      <w:szCs w:val="20"/>
                    </w:rPr>
                    <w:t xml:space="preserve">, Alexander, and Gallagher, </w:t>
                  </w:r>
                  <w:r>
                    <w:rPr>
                      <w:rFonts w:ascii="Times New Roman" w:eastAsia="Times New Roman" w:hAnsi="Times New Roman"/>
                      <w:b/>
                      <w:bCs/>
                      <w:sz w:val="20"/>
                      <w:szCs w:val="20"/>
                    </w:rPr>
                    <w:t>Environ. Sci. Technol. Lett.</w:t>
                  </w:r>
                  <w:r>
                    <w:rPr>
                      <w:rFonts w:ascii="Times New Roman" w:eastAsia="Times New Roman" w:hAnsi="Times New Roman"/>
                      <w:sz w:val="20"/>
                      <w:szCs w:val="20"/>
                    </w:rPr>
                    <w:t xml:space="preserve">, (2015) </w:t>
                  </w:r>
                  <w:r>
                    <w:rPr>
                      <w:rFonts w:ascii="Times New Roman" w:eastAsia="Times New Roman" w:hAnsi="Times New Roman"/>
                      <w:b/>
                      <w:bCs/>
                      <w:i/>
                      <w:iCs/>
                      <w:sz w:val="20"/>
                      <w:szCs w:val="20"/>
                    </w:rPr>
                    <w:t>2</w:t>
                  </w:r>
                  <w:r>
                    <w:rPr>
                      <w:rFonts w:ascii="Times New Roman" w:eastAsia="Times New Roman" w:hAnsi="Times New Roman"/>
                      <w:i/>
                      <w:iCs/>
                      <w:sz w:val="20"/>
                      <w:szCs w:val="20"/>
                    </w:rPr>
                    <w:t>,</w:t>
                  </w:r>
                  <w:r>
                    <w:rPr>
                      <w:rFonts w:ascii="Times New Roman" w:eastAsia="Times New Roman" w:hAnsi="Times New Roman"/>
                      <w:sz w:val="20"/>
                      <w:szCs w:val="20"/>
                    </w:rPr>
                    <w:t xml:space="preserve"> 123–127; </w:t>
                  </w:r>
                  <w:r>
                    <w:rPr>
                      <w:rFonts w:ascii="Times New Roman" w:eastAsia="Times New Roman" w:hAnsi="Times New Roman"/>
                      <w:b/>
                      <w:bCs/>
                      <w:sz w:val="20"/>
                      <w:szCs w:val="20"/>
                    </w:rPr>
                    <w:t xml:space="preserve">DOI: </w:t>
                  </w:r>
                  <w:r>
                    <w:rPr>
                      <w:rFonts w:ascii="Times New Roman" w:eastAsia="Times New Roman" w:hAnsi="Times New Roman"/>
                      <w:sz w:val="20"/>
                      <w:szCs w:val="20"/>
                    </w:rPr>
                    <w:t>10.1021/acs.estlett.5b00061</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DECISION STATUS: </w:t>
                  </w:r>
                </w:p>
              </w:tc>
            </w:tr>
            <w:tr w:rsidR="005242B8">
              <w:trPr>
                <w:tblCellSpacing w:w="15" w:type="dxa"/>
              </w:trPr>
              <w:tc>
                <w:tcPr>
                  <w:tcW w:w="0" w:type="auto"/>
                  <w:tcMar>
                    <w:top w:w="15" w:type="dxa"/>
                    <w:left w:w="15" w:type="dxa"/>
                    <w:bottom w:w="15" w:type="dxa"/>
                    <w:right w:w="15" w:type="dxa"/>
                  </w:tcMar>
                  <w:vAlign w:val="center"/>
                  <w:hideMark/>
                </w:tcPr>
                <w:p w:rsidR="005242B8" w:rsidRDefault="005242B8">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 xml:space="preserve">ABSTRACT STATUS: </w:t>
                  </w:r>
                  <w:r>
                    <w:rPr>
                      <w:rFonts w:ascii="Times New Roman" w:eastAsia="Times New Roman" w:hAnsi="Times New Roman"/>
                      <w:sz w:val="20"/>
                      <w:szCs w:val="20"/>
                    </w:rPr>
                    <w:t>submitted Withdraw</w:t>
                  </w:r>
                </w:p>
              </w:tc>
            </w:tr>
          </w:tbl>
          <w:p w:rsidR="005242B8" w:rsidRDefault="005242B8" w:rsidP="005242B8">
            <w:pPr>
              <w:spacing w:after="0" w:line="240" w:lineRule="auto"/>
              <w:rPr>
                <w:rFonts w:ascii="Times New Roman" w:eastAsia="Times New Roman" w:hAnsi="Times New Roman"/>
                <w:sz w:val="24"/>
                <w:szCs w:val="24"/>
              </w:rPr>
            </w:pPr>
          </w:p>
        </w:tc>
      </w:tr>
    </w:tbl>
    <w:p w:rsidR="0053706A" w:rsidRPr="00841B8A" w:rsidRDefault="0053706A" w:rsidP="00841B8A"/>
    <w:sectPr w:rsidR="0053706A" w:rsidRPr="00841B8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841B8A">
      <w:rPr>
        <w:rFonts w:ascii="Times New Roman" w:eastAsia="Times New Roman" w:hAnsi="Times New Roman" w:cs="Times New Roman"/>
        <w:sz w:val="20"/>
        <w:szCs w:val="20"/>
      </w:rPr>
      <w:t>General Physical Chemistry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0E3BC1"/>
    <w:rsid w:val="001050A4"/>
    <w:rsid w:val="00136CD1"/>
    <w:rsid w:val="001475F6"/>
    <w:rsid w:val="00151D5C"/>
    <w:rsid w:val="001B12EC"/>
    <w:rsid w:val="001B2600"/>
    <w:rsid w:val="001E4FBF"/>
    <w:rsid w:val="0020021A"/>
    <w:rsid w:val="0020086D"/>
    <w:rsid w:val="00203F1A"/>
    <w:rsid w:val="002216BC"/>
    <w:rsid w:val="00270BD7"/>
    <w:rsid w:val="00277A4C"/>
    <w:rsid w:val="00282B54"/>
    <w:rsid w:val="002840C4"/>
    <w:rsid w:val="002D3191"/>
    <w:rsid w:val="002F0D3D"/>
    <w:rsid w:val="0036674A"/>
    <w:rsid w:val="00381614"/>
    <w:rsid w:val="00383835"/>
    <w:rsid w:val="00383ECA"/>
    <w:rsid w:val="003B00FE"/>
    <w:rsid w:val="003D2048"/>
    <w:rsid w:val="003F0FC6"/>
    <w:rsid w:val="003F4B71"/>
    <w:rsid w:val="003F7525"/>
    <w:rsid w:val="004417DB"/>
    <w:rsid w:val="004503CF"/>
    <w:rsid w:val="00461A63"/>
    <w:rsid w:val="00492AC6"/>
    <w:rsid w:val="004B407B"/>
    <w:rsid w:val="00512B7D"/>
    <w:rsid w:val="005242B8"/>
    <w:rsid w:val="0053706A"/>
    <w:rsid w:val="00556ED6"/>
    <w:rsid w:val="005B1E45"/>
    <w:rsid w:val="005F19E7"/>
    <w:rsid w:val="0069784B"/>
    <w:rsid w:val="00741B5C"/>
    <w:rsid w:val="007522D0"/>
    <w:rsid w:val="00780D2B"/>
    <w:rsid w:val="00784F32"/>
    <w:rsid w:val="007C381E"/>
    <w:rsid w:val="0084043F"/>
    <w:rsid w:val="00841B8A"/>
    <w:rsid w:val="008746AB"/>
    <w:rsid w:val="008B4358"/>
    <w:rsid w:val="008E65A2"/>
    <w:rsid w:val="00953590"/>
    <w:rsid w:val="009679FC"/>
    <w:rsid w:val="009867B3"/>
    <w:rsid w:val="00A07337"/>
    <w:rsid w:val="00A23226"/>
    <w:rsid w:val="00A60906"/>
    <w:rsid w:val="00A65A68"/>
    <w:rsid w:val="00AD0DB2"/>
    <w:rsid w:val="00AD5753"/>
    <w:rsid w:val="00AD6BE5"/>
    <w:rsid w:val="00B35908"/>
    <w:rsid w:val="00C034C4"/>
    <w:rsid w:val="00C12CF5"/>
    <w:rsid w:val="00C507C6"/>
    <w:rsid w:val="00D223FD"/>
    <w:rsid w:val="00D338C9"/>
    <w:rsid w:val="00D7074C"/>
    <w:rsid w:val="00D87FBA"/>
    <w:rsid w:val="00DA2C33"/>
    <w:rsid w:val="00DB7F1A"/>
    <w:rsid w:val="00DE39D8"/>
    <w:rsid w:val="00E43435"/>
    <w:rsid w:val="00EA74DC"/>
    <w:rsid w:val="00EB0695"/>
    <w:rsid w:val="00ED0BA8"/>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771239620">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889266187">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 w:id="212384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4761</Words>
  <Characters>27139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2015-09-03T01:02:00Z</dcterms:created>
  <dcterms:modified xsi:type="dcterms:W3CDTF">2015-09-03T01:03:00Z</dcterms:modified>
</cp:coreProperties>
</file>