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2308467</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 xml:space="preserve">Evaluation of a perturbative treatment of three-body interactions in HCP </w:t>
                  </w:r>
                  <w:r w:rsidRPr="00092E0E">
                    <w:rPr>
                      <w:rFonts w:ascii="Times New Roman" w:eastAsia="Times New Roman" w:hAnsi="Times New Roman" w:cs="Times New Roman"/>
                      <w:sz w:val="20"/>
                      <w:szCs w:val="20"/>
                      <w:vertAlign w:val="superscript"/>
                    </w:rPr>
                    <w:t>4</w:t>
                  </w:r>
                  <w:r w:rsidRPr="00092E0E">
                    <w:rPr>
                      <w:rFonts w:ascii="Times New Roman" w:eastAsia="Times New Roman" w:hAnsi="Times New Roman" w:cs="Times New Roman"/>
                      <w:sz w:val="20"/>
                      <w:szCs w:val="20"/>
                    </w:rPr>
                    <w:t>He</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Ashleigh Barnes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alocke5@utk.edu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Ashleigh L. Barnes</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Robert J. Hinde</w:t>
                  </w:r>
                  <w:r w:rsidRPr="00092E0E">
                    <w:rPr>
                      <w:rFonts w:ascii="Times New Roman" w:eastAsia="Times New Roman" w:hAnsi="Times New Roman" w:cs="Times New Roman"/>
                      <w:sz w:val="20"/>
                      <w:szCs w:val="20"/>
                      <w:vertAlign w:val="superscript"/>
                    </w:rPr>
                    <w:t>2</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Chemistry, University Of Tennessee, Knoxville, TN, United States. </w:t>
                  </w:r>
                  <w:r w:rsidRPr="00092E0E">
                    <w:rPr>
                      <w:rFonts w:ascii="Times New Roman" w:eastAsia="Times New Roman" w:hAnsi="Times New Roman" w:cs="Times New Roman"/>
                      <w:sz w:val="20"/>
                      <w:szCs w:val="20"/>
                    </w:rPr>
                    <w:br/>
                    <w:t xml:space="preserve">2. University of Tennessee, Knoxville, TN,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Only</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 xml:space="preserve">The properties of hexagonal close packed (hcp) solid </w:t>
                  </w:r>
                  <w:r w:rsidRPr="00092E0E">
                    <w:rPr>
                      <w:rFonts w:ascii="Times New Roman" w:eastAsia="Times New Roman" w:hAnsi="Times New Roman" w:cs="Times New Roman"/>
                      <w:sz w:val="20"/>
                      <w:szCs w:val="20"/>
                      <w:vertAlign w:val="superscript"/>
                    </w:rPr>
                    <w:t>4</w:t>
                  </w:r>
                  <w:r w:rsidRPr="00092E0E">
                    <w:rPr>
                      <w:rFonts w:ascii="Times New Roman" w:eastAsia="Times New Roman" w:hAnsi="Times New Roman" w:cs="Times New Roman"/>
                      <w:sz w:val="20"/>
                      <w:szCs w:val="20"/>
                    </w:rPr>
                    <w:t xml:space="preserve">He are dominated by large atomic zero point motions, which make the primary contribution to the solid’s low-temperature Debye-Waller (DW) factor. It is proposed that an accurate understanding of these zero point motions requires consideration of three-body interactions. We utilize quantum Monte Carlo (QMC) methods and either a 2-body or a 2+3-body potential energy function to calculate the DW factors for hcp </w:t>
                  </w:r>
                  <w:r w:rsidRPr="00092E0E">
                    <w:rPr>
                      <w:rFonts w:ascii="Times New Roman" w:eastAsia="Times New Roman" w:hAnsi="Times New Roman" w:cs="Times New Roman"/>
                      <w:sz w:val="20"/>
                      <w:szCs w:val="20"/>
                      <w:vertAlign w:val="superscript"/>
                    </w:rPr>
                    <w:t>4</w:t>
                  </w:r>
                  <w:r w:rsidRPr="00092E0E">
                    <w:rPr>
                      <w:rFonts w:ascii="Times New Roman" w:eastAsia="Times New Roman" w:hAnsi="Times New Roman" w:cs="Times New Roman"/>
                      <w:sz w:val="20"/>
                      <w:szCs w:val="20"/>
                    </w:rPr>
                    <w:t xml:space="preserve">He at </w:t>
                  </w:r>
                  <w:r w:rsidRPr="00092E0E">
                    <w:rPr>
                      <w:rFonts w:ascii="Times New Roman" w:eastAsia="Times New Roman" w:hAnsi="Times New Roman" w:cs="Times New Roman"/>
                      <w:i/>
                      <w:iCs/>
                      <w:sz w:val="20"/>
                      <w:szCs w:val="20"/>
                    </w:rPr>
                    <w:t>T</w:t>
                  </w:r>
                  <w:r w:rsidRPr="00092E0E">
                    <w:rPr>
                      <w:rFonts w:ascii="Times New Roman" w:eastAsia="Times New Roman" w:hAnsi="Times New Roman" w:cs="Times New Roman"/>
                      <w:sz w:val="20"/>
                      <w:szCs w:val="20"/>
                    </w:rPr>
                    <w:t xml:space="preserve"> = 0 K over a range of densities. We perform two sets of QMC simulations. One set of simulations incorporates the three-body interactions into the solid’s potential energy function for the entire simulation; the other set of simulations treats the three-body interactions as a small perturbation, or correction, to the two-body potential energy function. At this stage, only a negligible difference between the two methods is observed, indicating that the faster perturbative approach may be sufficient for an accurate description of the system. Theoretical equations of state for each set of simulations are reported and compared to experimental data, and we observe that simulations accounting for three-body interactions show improved agreement with experiment over two-body calculations. None of our simulations reveal significant anisotropy in the DW factors for atomic motion parallel or perpendicular to the crystal’s basal plane; this is in contrast to recent experimental findings of Blackburn et al. [Blackburn et al., Phys. Rev. B </w:t>
                  </w:r>
                  <w:r w:rsidRPr="00092E0E">
                    <w:rPr>
                      <w:rFonts w:ascii="Times New Roman" w:eastAsia="Times New Roman" w:hAnsi="Times New Roman" w:cs="Times New Roman"/>
                      <w:b/>
                      <w:bCs/>
                      <w:sz w:val="20"/>
                      <w:szCs w:val="20"/>
                    </w:rPr>
                    <w:t>76</w:t>
                  </w:r>
                  <w:r w:rsidRPr="00092E0E">
                    <w:rPr>
                      <w:rFonts w:ascii="Times New Roman" w:eastAsia="Times New Roman" w:hAnsi="Times New Roman" w:cs="Times New Roman"/>
                      <w:sz w:val="20"/>
                      <w:szCs w:val="20"/>
                    </w:rPr>
                    <w:t xml:space="preserve">, 024523 (2007)] where substantial anisotropy of this type was observed at temperatures near </w:t>
                  </w:r>
                  <w:r w:rsidRPr="00092E0E">
                    <w:rPr>
                      <w:rFonts w:ascii="Times New Roman" w:eastAsia="Times New Roman" w:hAnsi="Times New Roman" w:cs="Times New Roman"/>
                      <w:i/>
                      <w:iCs/>
                      <w:sz w:val="20"/>
                      <w:szCs w:val="20"/>
                    </w:rPr>
                    <w:t>T</w:t>
                  </w:r>
                  <w:r w:rsidRPr="00092E0E">
                    <w:rPr>
                      <w:rFonts w:ascii="Times New Roman" w:eastAsia="Times New Roman" w:hAnsi="Times New Roman" w:cs="Times New Roman"/>
                      <w:sz w:val="20"/>
                      <w:szCs w:val="20"/>
                    </w:rPr>
                    <w:t xml:space="preserve"> = 0 K. Current efforts focus on extracting elastic constants from simulation results in order to further assess the importance of three-body interactions in the system.</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06"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2339771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Computational quantum chemistry studies of proposed reaction mechanisms for direct oxidation of melatonin</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Constance Warden</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wardce01@goldmail.etsu.edu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Constance E. Warden</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Scott J. Kirkby</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Department of Chemistry, East Tennessee State University, Johnson City, TN,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Preferred</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 xml:space="preserve">Free radicals are connected to oxidative stress that results in aging, cancer, Parkinson’s, Alzheimer’s, and Sickle Cell Disease, among many other health problems. Indirect methods, such as spin trapping, are commonly used to circumvent the difficulty of direct experimental observation and identification of short-lived free radicals. Spin trapping stabilizes and lengthens the lifetime of the radical through reaction with another molecule so that it is detectable by Electron Paramagnetic Resonance spectroscopy. Recent efforts have been directed towards </w:t>
                  </w:r>
                  <w:r w:rsidRPr="00092E0E">
                    <w:rPr>
                      <w:rFonts w:ascii="Times New Roman" w:eastAsia="Times New Roman" w:hAnsi="Times New Roman" w:cs="Times New Roman"/>
                      <w:i/>
                      <w:iCs/>
                      <w:sz w:val="20"/>
                      <w:szCs w:val="20"/>
                    </w:rPr>
                    <w:t>in vivo</w:t>
                  </w:r>
                  <w:r w:rsidRPr="00092E0E">
                    <w:rPr>
                      <w:rFonts w:ascii="Times New Roman" w:eastAsia="Times New Roman" w:hAnsi="Times New Roman" w:cs="Times New Roman"/>
                      <w:sz w:val="20"/>
                      <w:szCs w:val="20"/>
                    </w:rPr>
                    <w:t xml:space="preserve"> spin trapping. However, the most common nitroso and nitrone spin traps are known to be toxic at high concentrations. Further complicating the interpretation of the experimental results to establish the reaction mechanisms is that the </w:t>
                  </w:r>
                  <w:proofErr w:type="gramStart"/>
                  <w:r w:rsidRPr="00092E0E">
                    <w:rPr>
                      <w:rFonts w:ascii="Times New Roman" w:eastAsia="Times New Roman" w:hAnsi="Times New Roman" w:cs="Times New Roman"/>
                      <w:sz w:val="20"/>
                      <w:szCs w:val="20"/>
                    </w:rPr>
                    <w:t>superoxide adduct</w:t>
                  </w:r>
                  <w:proofErr w:type="gramEnd"/>
                  <w:r w:rsidRPr="00092E0E">
                    <w:rPr>
                      <w:rFonts w:ascii="Times New Roman" w:eastAsia="Times New Roman" w:hAnsi="Times New Roman" w:cs="Times New Roman"/>
                      <w:sz w:val="20"/>
                      <w:szCs w:val="20"/>
                    </w:rPr>
                    <w:t xml:space="preserve"> of the spin trap enzymatically degrades and decays into that of the hydroxyl adduct. Melatonin is a relatively nontoxic natural antioxidant that is directly reactive towards the hydroxyl radical and relatively unreactive towards the superoxide radical. While melatonin as an antioxidant has been experimentally well studied, its reaction mechanisms are still not well understood. This presentation will focus on computational quantum chemistry studies of proposed reaction mechanisms in the gas phase for direct oxidation of melatonin. Geometry optimizations were performed using Hartree-Fock and Density Functional Theory methods in conjunction with Dunning’s correlation-consistent polarized valence-only triple zeta (cc-pVTZ) basis set. Single point energies were calculated using Møller-Plesset perturbation theory in conjunction with cc-pVDZ, cc-pVTZ, and cc-pVQZ basis sets. Stable structures and conformations of melatonin radical intermediates will help understand how melatonin functions as an antioxidant and determine if a melatonin derivative could function as a possible </w:t>
                  </w:r>
                  <w:r w:rsidRPr="00092E0E">
                    <w:rPr>
                      <w:rFonts w:ascii="Times New Roman" w:eastAsia="Times New Roman" w:hAnsi="Times New Roman" w:cs="Times New Roman"/>
                      <w:i/>
                      <w:iCs/>
                      <w:sz w:val="20"/>
                      <w:szCs w:val="20"/>
                    </w:rPr>
                    <w:t>in vivo</w:t>
                  </w:r>
                  <w:r w:rsidRPr="00092E0E">
                    <w:rPr>
                      <w:rFonts w:ascii="Times New Roman" w:eastAsia="Times New Roman" w:hAnsi="Times New Roman" w:cs="Times New Roman"/>
                      <w:sz w:val="20"/>
                      <w:szCs w:val="20"/>
                    </w:rPr>
                    <w:t xml:space="preserve"> spin trap.</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07"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2352895</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 xml:space="preserve">Combining metabolite-based pharmacophores with Bayesian machine learning models for </w:t>
                  </w:r>
                  <w:r w:rsidRPr="00092E0E">
                    <w:rPr>
                      <w:rFonts w:ascii="Times New Roman" w:eastAsia="Times New Roman" w:hAnsi="Times New Roman" w:cs="Times New Roman"/>
                      <w:i/>
                      <w:iCs/>
                      <w:sz w:val="20"/>
                      <w:szCs w:val="20"/>
                    </w:rPr>
                    <w:t>mycobacterium tuberculosis</w:t>
                  </w:r>
                  <w:r w:rsidRPr="00092E0E">
                    <w:rPr>
                      <w:rFonts w:ascii="Times New Roman" w:eastAsia="Times New Roman" w:hAnsi="Times New Roman" w:cs="Times New Roman"/>
                      <w:sz w:val="20"/>
                      <w:szCs w:val="20"/>
                    </w:rPr>
                    <w:t xml:space="preserve"> drug discovery</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Sean Ekins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ekinssean@yahoo.com</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Sean Ekins</w:t>
                  </w:r>
                  <w:r w:rsidRPr="00092E0E">
                    <w:rPr>
                      <w:rFonts w:ascii="Times New Roman" w:eastAsia="Times New Roman" w:hAnsi="Times New Roman" w:cs="Times New Roman"/>
                      <w:sz w:val="20"/>
                      <w:szCs w:val="20"/>
                      <w:vertAlign w:val="superscript"/>
                    </w:rPr>
                    <w:t>5, 6</w:t>
                  </w:r>
                  <w:r w:rsidRPr="00092E0E">
                    <w:rPr>
                      <w:rFonts w:ascii="Times New Roman" w:eastAsia="Times New Roman" w:hAnsi="Times New Roman" w:cs="Times New Roman"/>
                      <w:sz w:val="20"/>
                      <w:szCs w:val="20"/>
                    </w:rPr>
                    <w:t>, Peter Madrid</w:t>
                  </w:r>
                  <w:r w:rsidRPr="00092E0E">
                    <w:rPr>
                      <w:rFonts w:ascii="Times New Roman" w:eastAsia="Times New Roman" w:hAnsi="Times New Roman" w:cs="Times New Roman"/>
                      <w:sz w:val="20"/>
                      <w:szCs w:val="20"/>
                      <w:vertAlign w:val="superscript"/>
                    </w:rPr>
                    <w:t>3</w:t>
                  </w:r>
                  <w:r w:rsidRPr="00092E0E">
                    <w:rPr>
                      <w:rFonts w:ascii="Times New Roman" w:eastAsia="Times New Roman" w:hAnsi="Times New Roman" w:cs="Times New Roman"/>
                      <w:sz w:val="20"/>
                      <w:szCs w:val="20"/>
                    </w:rPr>
                    <w:t>, Malabika Sarker</w:t>
                  </w:r>
                  <w:r w:rsidRPr="00092E0E">
                    <w:rPr>
                      <w:rFonts w:ascii="Times New Roman" w:eastAsia="Times New Roman" w:hAnsi="Times New Roman" w:cs="Times New Roman"/>
                      <w:sz w:val="20"/>
                      <w:szCs w:val="20"/>
                      <w:vertAlign w:val="superscript"/>
                    </w:rPr>
                    <w:t>3</w:t>
                  </w:r>
                  <w:r w:rsidRPr="00092E0E">
                    <w:rPr>
                      <w:rFonts w:ascii="Times New Roman" w:eastAsia="Times New Roman" w:hAnsi="Times New Roman" w:cs="Times New Roman"/>
                      <w:sz w:val="20"/>
                      <w:szCs w:val="20"/>
                    </w:rPr>
                    <w:t>, Shao-Gang Li</w:t>
                  </w:r>
                  <w:r w:rsidRPr="00092E0E">
                    <w:rPr>
                      <w:rFonts w:ascii="Times New Roman" w:eastAsia="Times New Roman" w:hAnsi="Times New Roman" w:cs="Times New Roman"/>
                      <w:sz w:val="20"/>
                      <w:szCs w:val="20"/>
                      <w:vertAlign w:val="superscript"/>
                    </w:rPr>
                    <w:t>4</w:t>
                  </w:r>
                  <w:r w:rsidRPr="00092E0E">
                    <w:rPr>
                      <w:rFonts w:ascii="Times New Roman" w:eastAsia="Times New Roman" w:hAnsi="Times New Roman" w:cs="Times New Roman"/>
                      <w:sz w:val="20"/>
                      <w:szCs w:val="20"/>
                    </w:rPr>
                    <w:t>, Nisha Mittal</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Xin Wang</w:t>
                  </w:r>
                  <w:r w:rsidRPr="00092E0E">
                    <w:rPr>
                      <w:rFonts w:ascii="Times New Roman" w:eastAsia="Times New Roman" w:hAnsi="Times New Roman" w:cs="Times New Roman"/>
                      <w:sz w:val="20"/>
                      <w:szCs w:val="20"/>
                      <w:vertAlign w:val="superscript"/>
                    </w:rPr>
                    <w:t>4</w:t>
                  </w:r>
                  <w:r w:rsidRPr="00092E0E">
                    <w:rPr>
                      <w:rFonts w:ascii="Times New Roman" w:eastAsia="Times New Roman" w:hAnsi="Times New Roman" w:cs="Times New Roman"/>
                      <w:sz w:val="20"/>
                      <w:szCs w:val="20"/>
                    </w:rPr>
                    <w:t>, Thomas Stratton</w:t>
                  </w:r>
                  <w:r w:rsidRPr="00092E0E">
                    <w:rPr>
                      <w:rFonts w:ascii="Times New Roman" w:eastAsia="Times New Roman" w:hAnsi="Times New Roman" w:cs="Times New Roman"/>
                      <w:sz w:val="20"/>
                      <w:szCs w:val="20"/>
                      <w:vertAlign w:val="superscript"/>
                    </w:rPr>
                    <w:t>4</w:t>
                  </w:r>
                  <w:r w:rsidRPr="00092E0E">
                    <w:rPr>
                      <w:rFonts w:ascii="Times New Roman" w:eastAsia="Times New Roman" w:hAnsi="Times New Roman" w:cs="Times New Roman"/>
                      <w:sz w:val="20"/>
                      <w:szCs w:val="20"/>
                    </w:rPr>
                    <w:t>, Matthew Zimmerman</w:t>
                  </w:r>
                  <w:r w:rsidRPr="00092E0E">
                    <w:rPr>
                      <w:rFonts w:ascii="Times New Roman" w:eastAsia="Times New Roman" w:hAnsi="Times New Roman" w:cs="Times New Roman"/>
                      <w:sz w:val="20"/>
                      <w:szCs w:val="20"/>
                      <w:vertAlign w:val="superscript"/>
                    </w:rPr>
                    <w:t>7</w:t>
                  </w:r>
                  <w:r w:rsidRPr="00092E0E">
                    <w:rPr>
                      <w:rFonts w:ascii="Times New Roman" w:eastAsia="Times New Roman" w:hAnsi="Times New Roman" w:cs="Times New Roman"/>
                      <w:sz w:val="20"/>
                      <w:szCs w:val="20"/>
                    </w:rPr>
                    <w:t>, Carolyn Talcott</w:t>
                  </w:r>
                  <w:r w:rsidRPr="00092E0E">
                    <w:rPr>
                      <w:rFonts w:ascii="Times New Roman" w:eastAsia="Times New Roman" w:hAnsi="Times New Roman" w:cs="Times New Roman"/>
                      <w:sz w:val="20"/>
                      <w:szCs w:val="20"/>
                      <w:vertAlign w:val="superscript"/>
                    </w:rPr>
                    <w:t>3</w:t>
                  </w:r>
                  <w:r w:rsidRPr="00092E0E">
                    <w:rPr>
                      <w:rFonts w:ascii="Times New Roman" w:eastAsia="Times New Roman" w:hAnsi="Times New Roman" w:cs="Times New Roman"/>
                      <w:sz w:val="20"/>
                      <w:szCs w:val="20"/>
                    </w:rPr>
                    <w:t>, Pauline Bourbon</w:t>
                  </w:r>
                  <w:r w:rsidRPr="00092E0E">
                    <w:rPr>
                      <w:rFonts w:ascii="Times New Roman" w:eastAsia="Times New Roman" w:hAnsi="Times New Roman" w:cs="Times New Roman"/>
                      <w:sz w:val="20"/>
                      <w:szCs w:val="20"/>
                      <w:vertAlign w:val="superscript"/>
                    </w:rPr>
                    <w:t>3</w:t>
                  </w:r>
                  <w:r w:rsidRPr="00092E0E">
                    <w:rPr>
                      <w:rFonts w:ascii="Times New Roman" w:eastAsia="Times New Roman" w:hAnsi="Times New Roman" w:cs="Times New Roman"/>
                      <w:sz w:val="20"/>
                      <w:szCs w:val="20"/>
                    </w:rPr>
                    <w:t>, Mike Travers</w:t>
                  </w:r>
                  <w:r w:rsidRPr="00092E0E">
                    <w:rPr>
                      <w:rFonts w:ascii="Times New Roman" w:eastAsia="Times New Roman" w:hAnsi="Times New Roman" w:cs="Times New Roman"/>
                      <w:sz w:val="20"/>
                      <w:szCs w:val="20"/>
                      <w:vertAlign w:val="superscript"/>
                    </w:rPr>
                    <w:t>5</w:t>
                  </w:r>
                  <w:r w:rsidRPr="00092E0E">
                    <w:rPr>
                      <w:rFonts w:ascii="Times New Roman" w:eastAsia="Times New Roman" w:hAnsi="Times New Roman" w:cs="Times New Roman"/>
                      <w:sz w:val="20"/>
                      <w:szCs w:val="20"/>
                    </w:rPr>
                    <w:t>, Maneesh Yadav</w:t>
                  </w:r>
                  <w:r w:rsidRPr="00092E0E">
                    <w:rPr>
                      <w:rFonts w:ascii="Times New Roman" w:eastAsia="Times New Roman" w:hAnsi="Times New Roman" w:cs="Times New Roman"/>
                      <w:sz w:val="20"/>
                      <w:szCs w:val="20"/>
                      <w:vertAlign w:val="superscript"/>
                    </w:rPr>
                    <w:t>3</w:t>
                  </w:r>
                  <w:r w:rsidRPr="00092E0E">
                    <w:rPr>
                      <w:rFonts w:ascii="Times New Roman" w:eastAsia="Times New Roman" w:hAnsi="Times New Roman" w:cs="Times New Roman"/>
                      <w:sz w:val="20"/>
                      <w:szCs w:val="20"/>
                    </w:rPr>
                    <w:t>, Joel S. Freundlich</w:t>
                  </w:r>
                  <w:r w:rsidRPr="00092E0E">
                    <w:rPr>
                      <w:rFonts w:ascii="Times New Roman" w:eastAsia="Times New Roman" w:hAnsi="Times New Roman" w:cs="Times New Roman"/>
                      <w:sz w:val="20"/>
                      <w:szCs w:val="20"/>
                      <w:vertAlign w:val="superscript"/>
                    </w:rPr>
                    <w:t>2</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Rutgers Univ, Piscataway, NJ, United States. </w:t>
                  </w:r>
                  <w:r w:rsidRPr="00092E0E">
                    <w:rPr>
                      <w:rFonts w:ascii="Times New Roman" w:eastAsia="Times New Roman" w:hAnsi="Times New Roman" w:cs="Times New Roman"/>
                      <w:sz w:val="20"/>
                      <w:szCs w:val="20"/>
                    </w:rPr>
                    <w:br/>
                    <w:t xml:space="preserve">2. Pharmacology &amp; Physiology/Medicine, Rutgers University - NJMS, Princeton, NJ, United States. </w:t>
                  </w:r>
                  <w:r w:rsidRPr="00092E0E">
                    <w:rPr>
                      <w:rFonts w:ascii="Times New Roman" w:eastAsia="Times New Roman" w:hAnsi="Times New Roman" w:cs="Times New Roman"/>
                      <w:sz w:val="20"/>
                      <w:szCs w:val="20"/>
                    </w:rPr>
                    <w:br/>
                    <w:t xml:space="preserve">3. SRI International, Menlo Park, CA, United States. </w:t>
                  </w:r>
                  <w:r w:rsidRPr="00092E0E">
                    <w:rPr>
                      <w:rFonts w:ascii="Times New Roman" w:eastAsia="Times New Roman" w:hAnsi="Times New Roman" w:cs="Times New Roman"/>
                      <w:sz w:val="20"/>
                      <w:szCs w:val="20"/>
                    </w:rPr>
                    <w:br/>
                    <w:t>4. Departments of Pharmacology &amp; Physiology and Medicine</w:t>
                  </w:r>
                  <w:proofErr w:type="gramStart"/>
                  <w:r w:rsidRPr="00092E0E">
                    <w:rPr>
                      <w:rFonts w:ascii="Times New Roman" w:eastAsia="Times New Roman" w:hAnsi="Times New Roman" w:cs="Times New Roman"/>
                      <w:sz w:val="20"/>
                      <w:szCs w:val="20"/>
                    </w:rPr>
                    <w:t>,Center</w:t>
                  </w:r>
                  <w:proofErr w:type="gramEnd"/>
                  <w:r w:rsidRPr="00092E0E">
                    <w:rPr>
                      <w:rFonts w:ascii="Times New Roman" w:eastAsia="Times New Roman" w:hAnsi="Times New Roman" w:cs="Times New Roman"/>
                      <w:sz w:val="20"/>
                      <w:szCs w:val="20"/>
                    </w:rPr>
                    <w:t xml:space="preserve"> for Emerging and Reemerging Pathogens,, Center for Rutgers University – New Jersey Medical School, Newark, NJ, United States. </w:t>
                  </w:r>
                  <w:r w:rsidRPr="00092E0E">
                    <w:rPr>
                      <w:rFonts w:ascii="Times New Roman" w:eastAsia="Times New Roman" w:hAnsi="Times New Roman" w:cs="Times New Roman"/>
                      <w:sz w:val="20"/>
                      <w:szCs w:val="20"/>
                    </w:rPr>
                    <w:br/>
                    <w:t xml:space="preserve">5. Collaborative Drug Discovery, Inc, Burlingame, CA, United States. </w:t>
                  </w:r>
                  <w:r w:rsidRPr="00092E0E">
                    <w:rPr>
                      <w:rFonts w:ascii="Times New Roman" w:eastAsia="Times New Roman" w:hAnsi="Times New Roman" w:cs="Times New Roman"/>
                      <w:sz w:val="20"/>
                      <w:szCs w:val="20"/>
                    </w:rPr>
                    <w:br/>
                    <w:t>6. Collaborations in Chemistry</w:t>
                  </w:r>
                  <w:proofErr w:type="gramStart"/>
                  <w:r w:rsidRPr="00092E0E">
                    <w:rPr>
                      <w:rFonts w:ascii="Times New Roman" w:eastAsia="Times New Roman" w:hAnsi="Times New Roman" w:cs="Times New Roman"/>
                      <w:sz w:val="20"/>
                      <w:szCs w:val="20"/>
                    </w:rPr>
                    <w:t>, ,</w:t>
                  </w:r>
                  <w:proofErr w:type="gramEnd"/>
                  <w:r w:rsidRPr="00092E0E">
                    <w:rPr>
                      <w:rFonts w:ascii="Times New Roman" w:eastAsia="Times New Roman" w:hAnsi="Times New Roman" w:cs="Times New Roman"/>
                      <w:sz w:val="20"/>
                      <w:szCs w:val="20"/>
                    </w:rPr>
                    <w:t xml:space="preserve"> Fuquay Varina, NC, United States. </w:t>
                  </w:r>
                  <w:r w:rsidRPr="00092E0E">
                    <w:rPr>
                      <w:rFonts w:ascii="Times New Roman" w:eastAsia="Times New Roman" w:hAnsi="Times New Roman" w:cs="Times New Roman"/>
                      <w:sz w:val="20"/>
                      <w:szCs w:val="20"/>
                    </w:rPr>
                    <w:br/>
                    <w:t xml:space="preserve">7. Public Health Research Institute, Rutgers University – New Jersey Medical School, Newark, NJ,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Only</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 xml:space="preserve">Integrated computational approaches for </w:t>
                  </w:r>
                  <w:r w:rsidRPr="00092E0E">
                    <w:rPr>
                      <w:rFonts w:ascii="Times New Roman" w:eastAsia="Times New Roman" w:hAnsi="Times New Roman" w:cs="Times New Roman"/>
                      <w:i/>
                      <w:iCs/>
                      <w:sz w:val="20"/>
                      <w:szCs w:val="20"/>
                    </w:rPr>
                    <w:t>Mycobacterium tuberculosis</w:t>
                  </w:r>
                  <w:r w:rsidRPr="00092E0E">
                    <w:rPr>
                      <w:rFonts w:ascii="Times New Roman" w:eastAsia="Times New Roman" w:hAnsi="Times New Roman" w:cs="Times New Roman"/>
                      <w:sz w:val="20"/>
                      <w:szCs w:val="20"/>
                    </w:rPr>
                    <w:t xml:space="preserve"> (</w:t>
                  </w:r>
                  <w:r w:rsidRPr="00092E0E">
                    <w:rPr>
                      <w:rFonts w:ascii="Times New Roman" w:eastAsia="Times New Roman" w:hAnsi="Times New Roman" w:cs="Times New Roman"/>
                      <w:i/>
                      <w:iCs/>
                      <w:sz w:val="20"/>
                      <w:szCs w:val="20"/>
                    </w:rPr>
                    <w:t>Mtb</w:t>
                  </w:r>
                  <w:r w:rsidRPr="00092E0E">
                    <w:rPr>
                      <w:rFonts w:ascii="Times New Roman" w:eastAsia="Times New Roman" w:hAnsi="Times New Roman" w:cs="Times New Roman"/>
                      <w:sz w:val="20"/>
                      <w:szCs w:val="20"/>
                    </w:rPr>
                    <w:t xml:space="preserve">) are useful to identify new molecules that could lead to future tuberculosis (TB) drugs. Our approach uses information derived from the TBCyc pathway and genome database, the Collaborative Drug Discovery TB database combined with 3D pharmacophores and dual event Bayesian models of whole-cell activity and lack of cytotoxicity. We have prioritized a large number of molecules that may act as mimics of substrates and metabolites in the TB metabolome. We computationally searched over 200,000 commercial molecules using 66 pharmacophores based on substrates and metabolites from </w:t>
                  </w:r>
                  <w:r w:rsidRPr="00092E0E">
                    <w:rPr>
                      <w:rFonts w:ascii="Times New Roman" w:eastAsia="Times New Roman" w:hAnsi="Times New Roman" w:cs="Times New Roman"/>
                      <w:i/>
                      <w:iCs/>
                      <w:sz w:val="20"/>
                      <w:szCs w:val="20"/>
                    </w:rPr>
                    <w:t xml:space="preserve">Mtb </w:t>
                  </w:r>
                  <w:r w:rsidRPr="00092E0E">
                    <w:rPr>
                      <w:rFonts w:ascii="Times New Roman" w:eastAsia="Times New Roman" w:hAnsi="Times New Roman" w:cs="Times New Roman"/>
                      <w:sz w:val="20"/>
                      <w:szCs w:val="20"/>
                    </w:rPr>
                    <w:t xml:space="preserve">and further filtering with Bayesian models. We ultimately tested 110 compounds </w:t>
                  </w:r>
                  <w:r w:rsidRPr="00092E0E">
                    <w:rPr>
                      <w:rFonts w:ascii="Times New Roman" w:eastAsia="Times New Roman" w:hAnsi="Times New Roman" w:cs="Times New Roman"/>
                      <w:i/>
                      <w:iCs/>
                      <w:sz w:val="20"/>
                      <w:szCs w:val="20"/>
                    </w:rPr>
                    <w:t>in vitro</w:t>
                  </w:r>
                  <w:r w:rsidRPr="00092E0E">
                    <w:rPr>
                      <w:rFonts w:ascii="Times New Roman" w:eastAsia="Times New Roman" w:hAnsi="Times New Roman" w:cs="Times New Roman"/>
                      <w:sz w:val="20"/>
                      <w:szCs w:val="20"/>
                    </w:rPr>
                    <w:t xml:space="preserve"> that resulted in two compounds of interest, BAS 04912643 and BAS 00623753 (MIC of 2.5 and 5 mg/mL, respectively). These molecules were used as a starting point for hit-to-lead optimization. The most promising class proved to be the quinoxaline di</w:t>
                  </w:r>
                  <w:r w:rsidRPr="00092E0E">
                    <w:rPr>
                      <w:rFonts w:ascii="Times New Roman" w:eastAsia="Times New Roman" w:hAnsi="Times New Roman" w:cs="Times New Roman"/>
                      <w:i/>
                      <w:iCs/>
                      <w:sz w:val="20"/>
                      <w:szCs w:val="20"/>
                    </w:rPr>
                    <w:t>-N</w:t>
                  </w:r>
                  <w:r w:rsidRPr="00092E0E">
                    <w:rPr>
                      <w:rFonts w:ascii="Times New Roman" w:eastAsia="Times New Roman" w:hAnsi="Times New Roman" w:cs="Times New Roman"/>
                      <w:sz w:val="20"/>
                      <w:szCs w:val="20"/>
                    </w:rPr>
                    <w:t xml:space="preserve">-oxides, evidenced by transcriptional profiling to induce mRNA level perturbations most closely resembling known protonophores. One of these, SRI58 exhibited an MIC = 1.25 µg/mL versus </w:t>
                  </w:r>
                  <w:r w:rsidRPr="00092E0E">
                    <w:rPr>
                      <w:rFonts w:ascii="Times New Roman" w:eastAsia="Times New Roman" w:hAnsi="Times New Roman" w:cs="Times New Roman"/>
                      <w:i/>
                      <w:iCs/>
                      <w:sz w:val="20"/>
                      <w:szCs w:val="20"/>
                    </w:rPr>
                    <w:t>Mtb</w:t>
                  </w:r>
                  <w:r w:rsidRPr="00092E0E">
                    <w:rPr>
                      <w:rFonts w:ascii="Times New Roman" w:eastAsia="Times New Roman" w:hAnsi="Times New Roman" w:cs="Times New Roman"/>
                      <w:sz w:val="20"/>
                      <w:szCs w:val="20"/>
                    </w:rPr>
                    <w:t xml:space="preserve"> and a CC</w:t>
                  </w:r>
                  <w:r w:rsidRPr="00092E0E">
                    <w:rPr>
                      <w:rFonts w:ascii="Times New Roman" w:eastAsia="Times New Roman" w:hAnsi="Times New Roman" w:cs="Times New Roman"/>
                      <w:sz w:val="20"/>
                      <w:szCs w:val="20"/>
                      <w:vertAlign w:val="subscript"/>
                    </w:rPr>
                    <w:t>50</w:t>
                  </w:r>
                  <w:r w:rsidRPr="00092E0E">
                    <w:rPr>
                      <w:rFonts w:ascii="Times New Roman" w:eastAsia="Times New Roman" w:hAnsi="Times New Roman" w:cs="Times New Roman"/>
                      <w:sz w:val="20"/>
                      <w:szCs w:val="20"/>
                    </w:rPr>
                    <w:t xml:space="preserve"> in Vero cells of &gt;40 µg/mL, while featuring fair Caco-2 A-B permeability (2.3 x 10</w:t>
                  </w:r>
                  <w:r w:rsidRPr="00092E0E">
                    <w:rPr>
                      <w:rFonts w:ascii="Times New Roman" w:eastAsia="Times New Roman" w:hAnsi="Times New Roman" w:cs="Times New Roman"/>
                      <w:sz w:val="20"/>
                      <w:szCs w:val="20"/>
                      <w:vertAlign w:val="superscript"/>
                    </w:rPr>
                    <w:t>-6</w:t>
                  </w:r>
                  <w:r w:rsidRPr="00092E0E">
                    <w:rPr>
                      <w:rFonts w:ascii="Times New Roman" w:eastAsia="Times New Roman" w:hAnsi="Times New Roman" w:cs="Times New Roman"/>
                      <w:sz w:val="20"/>
                      <w:szCs w:val="20"/>
                    </w:rPr>
                    <w:t xml:space="preserve"> cm/s), kinetic solubility (125 µM at pH 7.4 in PBS) and mouse metabolic stability (63.6% remaining after 1 h incubation with mouse liver microsomes). Despite demonstration of how a combined bioinformatics/cheminformatics approach afforded a small molecule with promising </w:t>
                  </w:r>
                  <w:r w:rsidRPr="00092E0E">
                    <w:rPr>
                      <w:rFonts w:ascii="Times New Roman" w:eastAsia="Times New Roman" w:hAnsi="Times New Roman" w:cs="Times New Roman"/>
                      <w:i/>
                      <w:iCs/>
                      <w:sz w:val="20"/>
                      <w:szCs w:val="20"/>
                    </w:rPr>
                    <w:t>in vitro</w:t>
                  </w:r>
                  <w:r w:rsidRPr="00092E0E">
                    <w:rPr>
                      <w:rFonts w:ascii="Times New Roman" w:eastAsia="Times New Roman" w:hAnsi="Times New Roman" w:cs="Times New Roman"/>
                      <w:sz w:val="20"/>
                      <w:szCs w:val="20"/>
                    </w:rPr>
                    <w:t xml:space="preserve"> profiles, we found that SRI58 did not exhibit quantifiable blood levels in mice.</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resubmitted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08"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2357144</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TITLE: Prediction of pKa via a QM/QM approach</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Prajay Patel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PrajayPatel@my.unt.edu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Prajay Patel</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Jiaqi Wang</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Angela K. Wilson</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Chemistry Dept, University of North Texas, Denton, TX,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Preferred</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Three implicit solvation models, C-PCM, COSMO, and SMD, were utilized to calculate the p</w:t>
                  </w:r>
                  <w:r w:rsidRPr="00092E0E">
                    <w:rPr>
                      <w:rFonts w:ascii="Times New Roman" w:eastAsia="Times New Roman" w:hAnsi="Times New Roman" w:cs="Times New Roman"/>
                      <w:i/>
                      <w:iCs/>
                      <w:sz w:val="20"/>
                      <w:szCs w:val="20"/>
                    </w:rPr>
                    <w:t>K</w:t>
                  </w:r>
                  <w:r w:rsidRPr="00092E0E">
                    <w:rPr>
                      <w:rFonts w:ascii="Times New Roman" w:eastAsia="Times New Roman" w:hAnsi="Times New Roman" w:cs="Times New Roman"/>
                      <w:sz w:val="20"/>
                      <w:szCs w:val="20"/>
                      <w:vertAlign w:val="subscript"/>
                    </w:rPr>
                    <w:t>a</w:t>
                  </w:r>
                  <w:r w:rsidRPr="00092E0E">
                    <w:rPr>
                      <w:rFonts w:ascii="Times New Roman" w:eastAsia="Times New Roman" w:hAnsi="Times New Roman" w:cs="Times New Roman"/>
                      <w:sz w:val="20"/>
                      <w:szCs w:val="20"/>
                    </w:rPr>
                    <w:t xml:space="preserve"> values of a set of Ni-group hydrides in acetonitrile using a direct thermodynamic scheme. The influence of solvation model, density functional and basis set choice within a hybrid two layer QM/QM approach (ONIOM), atomic radii applied to build a cavity in the solvent, the size of the high-layer region in ONIOM calculations, and inclusion of Grimme’s empirical dispersion correction in DFT calculations on the predictions of p</w:t>
                  </w:r>
                  <w:r w:rsidRPr="00092E0E">
                    <w:rPr>
                      <w:rFonts w:ascii="Times New Roman" w:eastAsia="Times New Roman" w:hAnsi="Times New Roman" w:cs="Times New Roman"/>
                      <w:i/>
                      <w:iCs/>
                      <w:sz w:val="20"/>
                      <w:szCs w:val="20"/>
                    </w:rPr>
                    <w:t>K</w:t>
                  </w:r>
                  <w:r w:rsidRPr="00092E0E">
                    <w:rPr>
                      <w:rFonts w:ascii="Times New Roman" w:eastAsia="Times New Roman" w:hAnsi="Times New Roman" w:cs="Times New Roman"/>
                      <w:sz w:val="20"/>
                      <w:szCs w:val="20"/>
                      <w:vertAlign w:val="subscript"/>
                    </w:rPr>
                    <w:t>a</w:t>
                  </w:r>
                  <w:r w:rsidRPr="00092E0E">
                    <w:rPr>
                      <w:rFonts w:ascii="Times New Roman" w:eastAsia="Times New Roman" w:hAnsi="Times New Roman" w:cs="Times New Roman"/>
                      <w:sz w:val="20"/>
                      <w:szCs w:val="20"/>
                    </w:rPr>
                    <w:t xml:space="preserve"> values were examined. The DFT functionals considered in this study include the local spin-density approximation (LSDA), generalized gradient approximation (GGA), meta-GGA, hybrid-GGA, hybrid-meta-GGA, and double-hybrid-GGA functionals. The results were calibrated by experimental pK</w:t>
                  </w:r>
                  <w:r w:rsidRPr="00092E0E">
                    <w:rPr>
                      <w:rFonts w:ascii="Times New Roman" w:eastAsia="Times New Roman" w:hAnsi="Times New Roman" w:cs="Times New Roman"/>
                      <w:sz w:val="20"/>
                      <w:szCs w:val="20"/>
                      <w:vertAlign w:val="subscript"/>
                    </w:rPr>
                    <w:t>a</w:t>
                  </w:r>
                  <w:r w:rsidRPr="00092E0E">
                    <w:rPr>
                      <w:rFonts w:ascii="Times New Roman" w:eastAsia="Times New Roman" w:hAnsi="Times New Roman" w:cs="Times New Roman"/>
                      <w:sz w:val="20"/>
                      <w:szCs w:val="20"/>
                    </w:rPr>
                    <w:t xml:space="preserve"> values. The impact of the percentage of HF exchange used for hybrid functionals was considered. These investigations provide useful insight about models needed for the prediction of thermodynamic properties of transition metal hydrides.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resubmitted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09"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2357258</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Characterization of C-X...π interactions using state-of-the-art computational techniques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Kevin Riley</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kev.e.riley@gmail.com</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Kevin Riley</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Chemistry, Xavier University of Louisiana, New Orleans, LA,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Preferred</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Halogen bonds have been recognized in the past decade as important noncovalent interactions that play roles in biomolecular structures and material design. Most typically, halogen bonds are viewed as occuring between a bound halogen and a bound electronegative atom, such as oxygen or nitrogen. These types of halogen bonds have been the subject of many theoretical and experimental studies and their properties are known relatively well. It has recently been determined that π systems, such as those in aromatic rings, can also serve as halogen bond acceptors. The properties of these C-X...π (X = Cl, Br, I) interactions have not been extensively characterized and are the subject of many recent investigations. Given the relative complexity of the electrostatic potentials of aromatic systems, the optimum geometries of C-X...π complexes are not as easily determined as those of more typical C-X...O or C-X...N systems. Because aromatic systems have large surface areas and high polarizabilities, and because halogens are large and have high polarizabilities, dispersion forces, as well as electrostatic forces, play a large role in stabilizing C-X...π complexes. Here we describe work aimed at characterizing interactions occurring between several halogen bond donors (HX, HCCX, and NCX) and benzene using modern computational chemistry methods. Accurate binding energies for various geometrical configurations of these complexes are generated at the CCSD(T)/aug-cc-pVQZ level of theory while symmetry adapted perturbation theory (SAPT) calculations are used to estimate the relative contributions of electrostatics, dispersion, and induction in stabilizing the complexes. Additionally, the performance of several density functional theory methods, with and without empirical dispersion corrections, is assessed in terms of their ability to accurately describe these C-X...π systems.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10"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2358350</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Electronic structure of light-harvesting antennas in purple bacteria</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Kushal Shrestha</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kshrest@ncsu.edu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Kushal Shrestha</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Elena Jakubikova</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North Carolina State University, Durham, NC,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Preferred</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 xml:space="preserve">Light-harvesting antennas are protein-pigment complexes that play a crucial role in natural photosynthesis. The antenna complexes absorb light and transfer energy to photosynthetic reaction centers where charge separation occurs. The goal of this work is to study the electronic structure of the pigment networks of light-harvesting complex I (LH1), LH1 with the reaction center (RC-LH1), and light-harvesting complex II (LH2) found in purple bacteria. As the pigment networks of LH1, RC-LH1, and LH2 contain thousands of atoms, conventional DFT and </w:t>
                  </w:r>
                  <w:r w:rsidRPr="00092E0E">
                    <w:rPr>
                      <w:rFonts w:ascii="Times New Roman" w:eastAsia="Times New Roman" w:hAnsi="Times New Roman" w:cs="Times New Roman"/>
                      <w:i/>
                      <w:iCs/>
                      <w:sz w:val="20"/>
                      <w:szCs w:val="20"/>
                    </w:rPr>
                    <w:t>ab initio</w:t>
                  </w:r>
                  <w:r w:rsidRPr="00092E0E">
                    <w:rPr>
                      <w:rFonts w:ascii="Times New Roman" w:eastAsia="Times New Roman" w:hAnsi="Times New Roman" w:cs="Times New Roman"/>
                      <w:sz w:val="20"/>
                      <w:szCs w:val="20"/>
                    </w:rPr>
                    <w:t xml:space="preserve"> calculations of these systems are not computationally feasible. Therefore, we utilize density functional theory (DFT) in conjunction with the energy-based fragmentation with molecular orbitals (EBF-MO) method as well as a semi-empirical approach employing the extended Hückel (EH) model Hamiltonian to determine the electronic properties of these pigment assemblies. Our calculations provide a deeper understanding of the electronic structure of natural light-harvesting complexes, especially their pigment networks, which could assist in rational design of artificial photosynthetic devices.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11"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2358377</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TITLE: Transition metals in astrochemistry: Which roads lead to a better understanding of astrobiology</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Nathan Deyonker</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ndyonker@memphis.edu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Nathan J. Deyonker</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Shelby Dickerson</w:t>
                  </w:r>
                  <w:r w:rsidRPr="00092E0E">
                    <w:rPr>
                      <w:rFonts w:ascii="Times New Roman" w:eastAsia="Times New Roman" w:hAnsi="Times New Roman" w:cs="Times New Roman"/>
                      <w:sz w:val="20"/>
                      <w:szCs w:val="20"/>
                      <w:vertAlign w:val="superscript"/>
                    </w:rPr>
                    <w:t>2, 1</w:t>
                  </w:r>
                  <w:r w:rsidRPr="00092E0E">
                    <w:rPr>
                      <w:rFonts w:ascii="Times New Roman" w:eastAsia="Times New Roman" w:hAnsi="Times New Roman" w:cs="Times New Roman"/>
                      <w:sz w:val="20"/>
                      <w:szCs w:val="20"/>
                    </w:rPr>
                    <w:t>, Taylor Brown</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Chemistry, The University of Memphis, Memphis, TN, United States. </w:t>
                  </w:r>
                  <w:r w:rsidRPr="00092E0E">
                    <w:rPr>
                      <w:rFonts w:ascii="Times New Roman" w:eastAsia="Times New Roman" w:hAnsi="Times New Roman" w:cs="Times New Roman"/>
                      <w:sz w:val="20"/>
                      <w:szCs w:val="20"/>
                    </w:rPr>
                    <w:br/>
                    <w:t xml:space="preserve">2. Chemistry, University of Southern Mississippi, Hattiesburg, MS,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Preferred</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New small inorganic molecules are rapidly being identified in the interstellar medium and in the radio spectra of carbon-rich stars. However, the terrestrial synthesis and characterization of this novel “library” of fragments, molecules, and binding motifs is not keeping up with data obtained via astronomical observation. The electronic structure of organic molecules and materials implicated in pre-biotic chemistry and origin-of-life reactions [for example, polyynes (HC</w:t>
                  </w:r>
                  <w:r w:rsidRPr="00092E0E">
                    <w:rPr>
                      <w:rFonts w:ascii="Times New Roman" w:eastAsia="Times New Roman" w:hAnsi="Times New Roman" w:cs="Times New Roman"/>
                      <w:sz w:val="20"/>
                      <w:szCs w:val="20"/>
                      <w:vertAlign w:val="subscript"/>
                    </w:rPr>
                    <w:t>n</w:t>
                  </w:r>
                  <w:r w:rsidRPr="00092E0E">
                    <w:rPr>
                      <w:rFonts w:ascii="Times New Roman" w:eastAsia="Times New Roman" w:hAnsi="Times New Roman" w:cs="Times New Roman"/>
                      <w:sz w:val="20"/>
                      <w:szCs w:val="20"/>
                    </w:rPr>
                    <w:t>H), polyaromatic hydrocarbons, and phosphates] are a substantial focus of the computational chemistry community. However, the interactions of these materials with metals that hold a crucial role in biology (such as Group IA/IIA atoms, Mn, Fe, and Zn) have scarcely been investigated. The gas phase electronic structure of many of these molecules is difficult to unravel both experimentally and theoretically. For example, the ground state electronic configuration of iron monocyanide (FeCN), a molecule that has profound catalytic and astrobiological relevance, has been heavily debated for over fifteen years. The electronic structure of FeCN and its isomer FeNC, VCN and VNC, reactions of iron cation with N</w:t>
                  </w:r>
                  <w:r w:rsidRPr="00092E0E">
                    <w:rPr>
                      <w:rFonts w:ascii="Times New Roman" w:eastAsia="Times New Roman" w:hAnsi="Times New Roman" w:cs="Times New Roman"/>
                      <w:sz w:val="20"/>
                      <w:szCs w:val="20"/>
                      <w:vertAlign w:val="subscript"/>
                    </w:rPr>
                    <w:t>2</w:t>
                  </w:r>
                  <w:r w:rsidRPr="00092E0E">
                    <w:rPr>
                      <w:rFonts w:ascii="Times New Roman" w:eastAsia="Times New Roman" w:hAnsi="Times New Roman" w:cs="Times New Roman"/>
                      <w:sz w:val="20"/>
                      <w:szCs w:val="20"/>
                    </w:rPr>
                    <w:t>, and characterization of the series of 3</w:t>
                  </w:r>
                  <w:r w:rsidRPr="00092E0E">
                    <w:rPr>
                      <w:rFonts w:ascii="Times New Roman" w:eastAsia="Times New Roman" w:hAnsi="Times New Roman" w:cs="Times New Roman"/>
                      <w:i/>
                      <w:iCs/>
                      <w:sz w:val="20"/>
                      <w:szCs w:val="20"/>
                    </w:rPr>
                    <w:t>d</w:t>
                  </w:r>
                  <w:r w:rsidRPr="00092E0E">
                    <w:rPr>
                      <w:rFonts w:ascii="Times New Roman" w:eastAsia="Times New Roman" w:hAnsi="Times New Roman" w:cs="Times New Roman"/>
                      <w:sz w:val="20"/>
                      <w:szCs w:val="20"/>
                    </w:rPr>
                    <w:t xml:space="preserve"> metal-alkylidenes (MCCH), all computed at very high levels of </w:t>
                  </w:r>
                  <w:r w:rsidRPr="00092E0E">
                    <w:rPr>
                      <w:rFonts w:ascii="Times New Roman" w:eastAsia="Times New Roman" w:hAnsi="Times New Roman" w:cs="Times New Roman"/>
                      <w:i/>
                      <w:iCs/>
                      <w:sz w:val="20"/>
                      <w:szCs w:val="20"/>
                    </w:rPr>
                    <w:t>ab initio</w:t>
                  </w:r>
                  <w:r w:rsidRPr="00092E0E">
                    <w:rPr>
                      <w:rFonts w:ascii="Times New Roman" w:eastAsia="Times New Roman" w:hAnsi="Times New Roman" w:cs="Times New Roman"/>
                      <w:sz w:val="20"/>
                      <w:szCs w:val="20"/>
                    </w:rPr>
                    <w:t xml:space="preserve"> theory, will be discussed. Elucidating the complex and challenging electronic structure of inorganic radicals has inspired development and refinement of new theoretical and spectroscopic methodologies, as well as new materials.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12"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2358447</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Quantifying electron delocalization in stretched bonds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Arshad Mehmood</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arshad.mehmood@tcu.edu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Arshad Mehmood</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Benjamin G. Janesko</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Chemistry, Texas Christian University, Fort Worth, TX,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Only</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 xml:space="preserve">Electron delocalization is fundamental to chemical bonding. Covalent bonding delocalizes electrons between atoms whereas bond breaking re-localizes electrons to atoms. Our electron delocalization range function EDR quantifies the degree to which electrons at point in a calculated wavefunction delocalize over distance </w:t>
                  </w:r>
                  <w:r w:rsidRPr="00092E0E">
                    <w:rPr>
                      <w:rFonts w:ascii="Times New Roman" w:eastAsia="Times New Roman" w:hAnsi="Times New Roman" w:cs="Times New Roman"/>
                      <w:i/>
                      <w:iCs/>
                      <w:sz w:val="20"/>
                      <w:szCs w:val="20"/>
                    </w:rPr>
                    <w:t>u</w:t>
                  </w:r>
                  <w:r w:rsidRPr="00092E0E">
                    <w:rPr>
                      <w:rFonts w:ascii="Times New Roman" w:eastAsia="Times New Roman" w:hAnsi="Times New Roman" w:cs="Times New Roman"/>
                      <w:sz w:val="20"/>
                      <w:szCs w:val="20"/>
                    </w:rPr>
                    <w:t xml:space="preserve">. We apply this function to quantify the delocalization in stretched chemical bonds involving strong correlation and self-interaction </w:t>
                  </w:r>
                  <w:proofErr w:type="gramStart"/>
                  <w:r w:rsidRPr="00092E0E">
                    <w:rPr>
                      <w:rFonts w:ascii="Times New Roman" w:eastAsia="Times New Roman" w:hAnsi="Times New Roman" w:cs="Times New Roman"/>
                      <w:sz w:val="20"/>
                      <w:szCs w:val="20"/>
                    </w:rPr>
                    <w:t>errors ,</w:t>
                  </w:r>
                  <w:proofErr w:type="gramEnd"/>
                  <w:r w:rsidRPr="00092E0E">
                    <w:rPr>
                      <w:rFonts w:ascii="Times New Roman" w:eastAsia="Times New Roman" w:hAnsi="Times New Roman" w:cs="Times New Roman"/>
                      <w:sz w:val="20"/>
                      <w:szCs w:val="20"/>
                    </w:rPr>
                    <w:t xml:space="preserve"> including H</w:t>
                  </w:r>
                  <w:r w:rsidRPr="00092E0E">
                    <w:rPr>
                      <w:rFonts w:ascii="Times New Roman" w:eastAsia="Times New Roman" w:hAnsi="Times New Roman" w:cs="Times New Roman"/>
                      <w:sz w:val="20"/>
                      <w:szCs w:val="20"/>
                      <w:vertAlign w:val="subscript"/>
                    </w:rPr>
                    <w:t>2</w:t>
                  </w:r>
                  <w:r w:rsidRPr="00092E0E">
                    <w:rPr>
                      <w:rFonts w:ascii="Times New Roman" w:eastAsia="Times New Roman" w:hAnsi="Times New Roman" w:cs="Times New Roman"/>
                      <w:sz w:val="20"/>
                      <w:szCs w:val="20"/>
                    </w:rPr>
                    <w:t xml:space="preserve"> and H</w:t>
                  </w:r>
                  <w:r w:rsidRPr="00092E0E">
                    <w:rPr>
                      <w:rFonts w:ascii="Times New Roman" w:eastAsia="Times New Roman" w:hAnsi="Times New Roman" w:cs="Times New Roman"/>
                      <w:sz w:val="20"/>
                      <w:szCs w:val="20"/>
                      <w:vertAlign w:val="subscript"/>
                    </w:rPr>
                    <w:t>2</w:t>
                  </w:r>
                  <w:r w:rsidRPr="00092E0E">
                    <w:rPr>
                      <w:rFonts w:ascii="Times New Roman" w:eastAsia="Times New Roman" w:hAnsi="Times New Roman" w:cs="Times New Roman"/>
                      <w:sz w:val="20"/>
                      <w:szCs w:val="20"/>
                      <w:vertAlign w:val="superscript"/>
                    </w:rPr>
                    <w:t>+</w:t>
                  </w:r>
                  <w:r w:rsidRPr="00092E0E">
                    <w:rPr>
                      <w:rFonts w:ascii="Times New Roman" w:eastAsia="Times New Roman" w:hAnsi="Times New Roman" w:cs="Times New Roman"/>
                      <w:sz w:val="20"/>
                      <w:szCs w:val="20"/>
                    </w:rPr>
                    <w:t xml:space="preserve"> . The density-matrix-based EDR illustrates that, at equilibrium, covalent bonds are more localized than separated atoms, consistent with the virial theorem. The EDR illustrates the well-known localizing effects of atomic "preparation energies". The EDR also shows how simple mean-field theories over-delocalize stretched bonds, a delocalization error that is fixed in accurate multireference calculations. The role of fractional spin, a fundamental error associated with static correlation of stretched molecular systems in visible in normalization effects on the EDR. Extensions to the closed shell interactions He</w:t>
                  </w:r>
                  <w:r w:rsidRPr="00092E0E">
                    <w:rPr>
                      <w:rFonts w:ascii="Times New Roman" w:eastAsia="Times New Roman" w:hAnsi="Times New Roman" w:cs="Times New Roman"/>
                      <w:sz w:val="20"/>
                      <w:szCs w:val="20"/>
                      <w:vertAlign w:val="subscript"/>
                    </w:rPr>
                    <w:t>2</w:t>
                  </w:r>
                  <w:r w:rsidRPr="00092E0E">
                    <w:rPr>
                      <w:rFonts w:ascii="Times New Roman" w:eastAsia="Times New Roman" w:hAnsi="Times New Roman" w:cs="Times New Roman"/>
                      <w:sz w:val="20"/>
                      <w:szCs w:val="20"/>
                    </w:rPr>
                    <w:t xml:space="preserve"> and Kr</w:t>
                  </w:r>
                  <w:r w:rsidRPr="00092E0E">
                    <w:rPr>
                      <w:rFonts w:ascii="Times New Roman" w:eastAsia="Times New Roman" w:hAnsi="Times New Roman" w:cs="Times New Roman"/>
                      <w:sz w:val="20"/>
                      <w:szCs w:val="20"/>
                      <w:vertAlign w:val="subscript"/>
                    </w:rPr>
                    <w:t>2</w:t>
                  </w:r>
                  <w:r w:rsidRPr="00092E0E">
                    <w:rPr>
                      <w:rFonts w:ascii="Times New Roman" w:eastAsia="Times New Roman" w:hAnsi="Times New Roman" w:cs="Times New Roman"/>
                      <w:sz w:val="20"/>
                      <w:szCs w:val="20"/>
                    </w:rPr>
                    <w:t>, the polar covalent bonds HF and HI, and ionic and charge-shift bonds further illustrate the EDR's utility for visualizing and highlighting these concepts.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13"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2359567</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Structures, relative energies, and ligand dissociation energies of Ir</w:t>
                  </w:r>
                  <w:r w:rsidRPr="00092E0E">
                    <w:rPr>
                      <w:rFonts w:ascii="Times New Roman" w:eastAsia="Times New Roman" w:hAnsi="Times New Roman" w:cs="Times New Roman"/>
                      <w:sz w:val="20"/>
                      <w:szCs w:val="20"/>
                      <w:vertAlign w:val="subscript"/>
                    </w:rPr>
                    <w:t>x</w:t>
                  </w:r>
                  <w:r w:rsidRPr="00092E0E">
                    <w:rPr>
                      <w:rFonts w:ascii="Times New Roman" w:eastAsia="Times New Roman" w:hAnsi="Times New Roman" w:cs="Times New Roman"/>
                      <w:sz w:val="20"/>
                      <w:szCs w:val="20"/>
                    </w:rPr>
                    <w:t>(CO)</w:t>
                  </w:r>
                  <w:r w:rsidRPr="00092E0E">
                    <w:rPr>
                      <w:rFonts w:ascii="Times New Roman" w:eastAsia="Times New Roman" w:hAnsi="Times New Roman" w:cs="Times New Roman"/>
                      <w:sz w:val="20"/>
                      <w:szCs w:val="20"/>
                      <w:vertAlign w:val="subscript"/>
                    </w:rPr>
                    <w:t>y</w:t>
                  </w:r>
                  <w:r w:rsidRPr="00092E0E">
                    <w:rPr>
                      <w:rFonts w:ascii="Times New Roman" w:eastAsia="Times New Roman" w:hAnsi="Times New Roman" w:cs="Times New Roman"/>
                      <w:sz w:val="20"/>
                      <w:szCs w:val="20"/>
                    </w:rPr>
                    <w:t>(NHC)</w:t>
                  </w:r>
                  <w:r w:rsidRPr="00092E0E">
                    <w:rPr>
                      <w:rFonts w:ascii="Times New Roman" w:eastAsia="Times New Roman" w:hAnsi="Times New Roman" w:cs="Times New Roman"/>
                      <w:sz w:val="20"/>
                      <w:szCs w:val="20"/>
                      <w:vertAlign w:val="subscript"/>
                    </w:rPr>
                    <w:t>z</w:t>
                  </w:r>
                  <w:r w:rsidRPr="00092E0E">
                    <w:rPr>
                      <w:rFonts w:ascii="Times New Roman" w:eastAsia="Times New Roman" w:hAnsi="Times New Roman" w:cs="Times New Roman"/>
                      <w:sz w:val="20"/>
                      <w:szCs w:val="20"/>
                    </w:rPr>
                    <w:t xml:space="preserve"> clusters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Shengjie Zhang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sjzhang0905@hotmail.com</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Shengjie Zhang</w:t>
                  </w:r>
                  <w:r w:rsidRPr="00092E0E">
                    <w:rPr>
                      <w:rFonts w:ascii="Times New Roman" w:eastAsia="Times New Roman" w:hAnsi="Times New Roman" w:cs="Times New Roman"/>
                      <w:sz w:val="20"/>
                      <w:szCs w:val="20"/>
                      <w:vertAlign w:val="superscript"/>
                    </w:rPr>
                    <w:t>4</w:t>
                  </w:r>
                  <w:r w:rsidRPr="00092E0E">
                    <w:rPr>
                      <w:rFonts w:ascii="Times New Roman" w:eastAsia="Times New Roman" w:hAnsi="Times New Roman" w:cs="Times New Roman"/>
                      <w:sz w:val="20"/>
                      <w:szCs w:val="20"/>
                    </w:rPr>
                    <w:t>, Sawyer Foyle</w:t>
                  </w:r>
                  <w:r w:rsidRPr="00092E0E">
                    <w:rPr>
                      <w:rFonts w:ascii="Times New Roman" w:eastAsia="Times New Roman" w:hAnsi="Times New Roman" w:cs="Times New Roman"/>
                      <w:sz w:val="20"/>
                      <w:szCs w:val="20"/>
                      <w:vertAlign w:val="superscript"/>
                    </w:rPr>
                    <w:t>4</w:t>
                  </w:r>
                  <w:r w:rsidRPr="00092E0E">
                    <w:rPr>
                      <w:rFonts w:ascii="Times New Roman" w:eastAsia="Times New Roman" w:hAnsi="Times New Roman" w:cs="Times New Roman"/>
                      <w:sz w:val="20"/>
                      <w:szCs w:val="20"/>
                    </w:rPr>
                    <w:t>, Bruce C. Gates</w:t>
                  </w:r>
                  <w:r w:rsidRPr="00092E0E">
                    <w:rPr>
                      <w:rFonts w:ascii="Times New Roman" w:eastAsia="Times New Roman" w:hAnsi="Times New Roman" w:cs="Times New Roman"/>
                      <w:sz w:val="20"/>
                      <w:szCs w:val="20"/>
                      <w:vertAlign w:val="superscript"/>
                    </w:rPr>
                    <w:t>2</w:t>
                  </w:r>
                  <w:r w:rsidRPr="00092E0E">
                    <w:rPr>
                      <w:rFonts w:ascii="Times New Roman" w:eastAsia="Times New Roman" w:hAnsi="Times New Roman" w:cs="Times New Roman"/>
                      <w:sz w:val="20"/>
                      <w:szCs w:val="20"/>
                    </w:rPr>
                    <w:t>, Alexander S. Katz</w:t>
                  </w:r>
                  <w:r w:rsidRPr="00092E0E">
                    <w:rPr>
                      <w:rFonts w:ascii="Times New Roman" w:eastAsia="Times New Roman" w:hAnsi="Times New Roman" w:cs="Times New Roman"/>
                      <w:sz w:val="20"/>
                      <w:szCs w:val="20"/>
                      <w:vertAlign w:val="superscript"/>
                    </w:rPr>
                    <w:t>3</w:t>
                  </w:r>
                  <w:r w:rsidRPr="00092E0E">
                    <w:rPr>
                      <w:rFonts w:ascii="Times New Roman" w:eastAsia="Times New Roman" w:hAnsi="Times New Roman" w:cs="Times New Roman"/>
                      <w:sz w:val="20"/>
                      <w:szCs w:val="20"/>
                    </w:rPr>
                    <w:t>, David A. Dixon</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Chemistry Dept, Shelby Hall, The University of Alabama, Tuscaloosa, AL, United States. </w:t>
                  </w:r>
                  <w:r w:rsidRPr="00092E0E">
                    <w:rPr>
                      <w:rFonts w:ascii="Times New Roman" w:eastAsia="Times New Roman" w:hAnsi="Times New Roman" w:cs="Times New Roman"/>
                      <w:sz w:val="20"/>
                      <w:szCs w:val="20"/>
                    </w:rPr>
                    <w:br/>
                    <w:t xml:space="preserve">2. Dept Chem Eng Mtrls Sci, Univ of California, Davis, CA, United States. </w:t>
                  </w:r>
                  <w:r w:rsidRPr="00092E0E">
                    <w:rPr>
                      <w:rFonts w:ascii="Times New Roman" w:eastAsia="Times New Roman" w:hAnsi="Times New Roman" w:cs="Times New Roman"/>
                      <w:sz w:val="20"/>
                      <w:szCs w:val="20"/>
                    </w:rPr>
                    <w:br/>
                    <w:t xml:space="preserve">3. Eng MC 1462, University of Cal at Berkeley, Berkeley, CA, United States. </w:t>
                  </w:r>
                  <w:r w:rsidRPr="00092E0E">
                    <w:rPr>
                      <w:rFonts w:ascii="Times New Roman" w:eastAsia="Times New Roman" w:hAnsi="Times New Roman" w:cs="Times New Roman"/>
                      <w:sz w:val="20"/>
                      <w:szCs w:val="20"/>
                    </w:rPr>
                    <w:br/>
                    <w:t xml:space="preserve">4. </w:t>
                  </w:r>
                  <w:proofErr w:type="gramStart"/>
                  <w:r w:rsidRPr="00092E0E">
                    <w:rPr>
                      <w:rFonts w:ascii="Times New Roman" w:eastAsia="Times New Roman" w:hAnsi="Times New Roman" w:cs="Times New Roman"/>
                      <w:sz w:val="20"/>
                      <w:szCs w:val="20"/>
                    </w:rPr>
                    <w:t>the</w:t>
                  </w:r>
                  <w:proofErr w:type="gramEnd"/>
                  <w:r w:rsidRPr="00092E0E">
                    <w:rPr>
                      <w:rFonts w:ascii="Times New Roman" w:eastAsia="Times New Roman" w:hAnsi="Times New Roman" w:cs="Times New Roman"/>
                      <w:sz w:val="20"/>
                      <w:szCs w:val="20"/>
                    </w:rPr>
                    <w:t xml:space="preserve"> University of Alabama, Tuscaloosa, AL,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Preferred</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 xml:space="preserve">Small iridium clusters catalyze a broad range of reactions. Besides traditional ligands like phosphines, N-heterocyclic carbenes (NHCs) show great potential for as li9gands for catalytic processes. The low energy isomers of the iridium clusters with carbonyls and NHCs, </w:t>
                  </w:r>
                  <w:proofErr w:type="gramStart"/>
                  <w:r w:rsidRPr="00092E0E">
                    <w:rPr>
                      <w:rFonts w:ascii="Times New Roman" w:eastAsia="Times New Roman" w:hAnsi="Times New Roman" w:cs="Times New Roman"/>
                      <w:sz w:val="20"/>
                      <w:szCs w:val="20"/>
                    </w:rPr>
                    <w:t>Ir</w:t>
                  </w:r>
                  <w:r w:rsidRPr="00092E0E">
                    <w:rPr>
                      <w:rFonts w:ascii="Times New Roman" w:eastAsia="Times New Roman" w:hAnsi="Times New Roman" w:cs="Times New Roman"/>
                      <w:sz w:val="20"/>
                      <w:szCs w:val="20"/>
                      <w:vertAlign w:val="subscript"/>
                    </w:rPr>
                    <w:t>x</w:t>
                  </w:r>
                  <w:r w:rsidRPr="00092E0E">
                    <w:rPr>
                      <w:rFonts w:ascii="Times New Roman" w:eastAsia="Times New Roman" w:hAnsi="Times New Roman" w:cs="Times New Roman"/>
                      <w:sz w:val="20"/>
                      <w:szCs w:val="20"/>
                    </w:rPr>
                    <w:t>(</w:t>
                  </w:r>
                  <w:proofErr w:type="gramEnd"/>
                  <w:r w:rsidRPr="00092E0E">
                    <w:rPr>
                      <w:rFonts w:ascii="Times New Roman" w:eastAsia="Times New Roman" w:hAnsi="Times New Roman" w:cs="Times New Roman"/>
                      <w:sz w:val="20"/>
                      <w:szCs w:val="20"/>
                    </w:rPr>
                    <w:t>CO)</w:t>
                  </w:r>
                  <w:r w:rsidRPr="00092E0E">
                    <w:rPr>
                      <w:rFonts w:ascii="Times New Roman" w:eastAsia="Times New Roman" w:hAnsi="Times New Roman" w:cs="Times New Roman"/>
                      <w:sz w:val="20"/>
                      <w:szCs w:val="20"/>
                      <w:vertAlign w:val="subscript"/>
                    </w:rPr>
                    <w:t>y</w:t>
                  </w:r>
                  <w:r w:rsidRPr="00092E0E">
                    <w:rPr>
                      <w:rFonts w:ascii="Times New Roman" w:eastAsia="Times New Roman" w:hAnsi="Times New Roman" w:cs="Times New Roman"/>
                      <w:sz w:val="20"/>
                      <w:szCs w:val="20"/>
                    </w:rPr>
                    <w:t>(NHC)</w:t>
                  </w:r>
                  <w:r w:rsidRPr="00092E0E">
                    <w:rPr>
                      <w:rFonts w:ascii="Times New Roman" w:eastAsia="Times New Roman" w:hAnsi="Times New Roman" w:cs="Times New Roman"/>
                      <w:sz w:val="20"/>
                      <w:szCs w:val="20"/>
                      <w:vertAlign w:val="subscript"/>
                    </w:rPr>
                    <w:t>z</w:t>
                  </w:r>
                  <w:r w:rsidRPr="00092E0E">
                    <w:rPr>
                      <w:rFonts w:ascii="Times New Roman" w:eastAsia="Times New Roman" w:hAnsi="Times New Roman" w:cs="Times New Roman"/>
                      <w:sz w:val="20"/>
                      <w:szCs w:val="20"/>
                    </w:rPr>
                    <w:t xml:space="preserve"> complexes (x=1, 2, 4) were investigated using density functional theory and coupled cluster CCSD(T) theory. The CAM-B3LYP functional predicted the most consistent reaction energies as compared to </w:t>
                  </w:r>
                  <w:proofErr w:type="gramStart"/>
                  <w:r w:rsidRPr="00092E0E">
                    <w:rPr>
                      <w:rFonts w:ascii="Times New Roman" w:eastAsia="Times New Roman" w:hAnsi="Times New Roman" w:cs="Times New Roman"/>
                      <w:sz w:val="20"/>
                      <w:szCs w:val="20"/>
                    </w:rPr>
                    <w:t>CCSD(</w:t>
                  </w:r>
                  <w:proofErr w:type="gramEnd"/>
                  <w:r w:rsidRPr="00092E0E">
                    <w:rPr>
                      <w:rFonts w:ascii="Times New Roman" w:eastAsia="Times New Roman" w:hAnsi="Times New Roman" w:cs="Times New Roman"/>
                      <w:sz w:val="20"/>
                      <w:szCs w:val="20"/>
                    </w:rPr>
                    <w:t xml:space="preserve">T) for mono- and di-iridium clusters. The CAM-B3LYP functional was used to predict the ligand dissociation reactions for larger </w:t>
                  </w:r>
                  <w:proofErr w:type="gramStart"/>
                  <w:r w:rsidRPr="00092E0E">
                    <w:rPr>
                      <w:rFonts w:ascii="Times New Roman" w:eastAsia="Times New Roman" w:hAnsi="Times New Roman" w:cs="Times New Roman"/>
                      <w:sz w:val="20"/>
                      <w:szCs w:val="20"/>
                    </w:rPr>
                    <w:t>Ir</w:t>
                  </w:r>
                  <w:r w:rsidRPr="00092E0E">
                    <w:rPr>
                      <w:rFonts w:ascii="Times New Roman" w:eastAsia="Times New Roman" w:hAnsi="Times New Roman" w:cs="Times New Roman"/>
                      <w:sz w:val="20"/>
                      <w:szCs w:val="20"/>
                      <w:vertAlign w:val="subscript"/>
                    </w:rPr>
                    <w:t>4</w:t>
                  </w:r>
                  <w:r w:rsidRPr="00092E0E">
                    <w:rPr>
                      <w:rFonts w:ascii="Times New Roman" w:eastAsia="Times New Roman" w:hAnsi="Times New Roman" w:cs="Times New Roman"/>
                      <w:sz w:val="20"/>
                      <w:szCs w:val="20"/>
                    </w:rPr>
                    <w:t>(</w:t>
                  </w:r>
                  <w:proofErr w:type="gramEnd"/>
                  <w:r w:rsidRPr="00092E0E">
                    <w:rPr>
                      <w:rFonts w:ascii="Times New Roman" w:eastAsia="Times New Roman" w:hAnsi="Times New Roman" w:cs="Times New Roman"/>
                      <w:sz w:val="20"/>
                      <w:szCs w:val="20"/>
                    </w:rPr>
                    <w:t>CO)</w:t>
                  </w:r>
                  <w:r w:rsidRPr="00092E0E">
                    <w:rPr>
                      <w:rFonts w:ascii="Times New Roman" w:eastAsia="Times New Roman" w:hAnsi="Times New Roman" w:cs="Times New Roman"/>
                      <w:sz w:val="20"/>
                      <w:szCs w:val="20"/>
                      <w:vertAlign w:val="subscript"/>
                    </w:rPr>
                    <w:t>y</w:t>
                  </w:r>
                  <w:r w:rsidRPr="00092E0E">
                    <w:rPr>
                      <w:rFonts w:ascii="Times New Roman" w:eastAsia="Times New Roman" w:hAnsi="Times New Roman" w:cs="Times New Roman"/>
                      <w:sz w:val="20"/>
                      <w:szCs w:val="20"/>
                    </w:rPr>
                    <w:t>(NHC)</w:t>
                  </w:r>
                  <w:r w:rsidRPr="00092E0E">
                    <w:rPr>
                      <w:rFonts w:ascii="Times New Roman" w:eastAsia="Times New Roman" w:hAnsi="Times New Roman" w:cs="Times New Roman"/>
                      <w:sz w:val="20"/>
                      <w:szCs w:val="20"/>
                      <w:vertAlign w:val="subscript"/>
                    </w:rPr>
                    <w:t>z</w:t>
                  </w:r>
                  <w:r w:rsidRPr="00092E0E">
                    <w:rPr>
                      <w:rFonts w:ascii="Times New Roman" w:eastAsia="Times New Roman" w:hAnsi="Times New Roman" w:cs="Times New Roman"/>
                      <w:sz w:val="20"/>
                      <w:szCs w:val="20"/>
                    </w:rPr>
                    <w:t xml:space="preserve"> clusters. Both electronic effects and steric effects contribute to an increase in CO dissociation energies and a decrease in NHC dissociation energies as more CO’s are substituted by NHC’s. For tetra-iridium clusters, the ligands on the apical and bridging sites have lower dissociation energies than those on the equatorial and axial sites in the basal plane and some dissociations reactions result in a μ</w:t>
                  </w:r>
                  <w:r w:rsidRPr="00092E0E">
                    <w:rPr>
                      <w:rFonts w:ascii="Times New Roman" w:eastAsia="Times New Roman" w:hAnsi="Times New Roman" w:cs="Times New Roman"/>
                      <w:sz w:val="20"/>
                      <w:szCs w:val="20"/>
                      <w:vertAlign w:val="subscript"/>
                    </w:rPr>
                    <w:t>3</w:t>
                  </w:r>
                  <w:r w:rsidRPr="00092E0E">
                    <w:rPr>
                      <w:rFonts w:ascii="Times New Roman" w:eastAsia="Times New Roman" w:hAnsi="Times New Roman" w:cs="Times New Roman"/>
                      <w:sz w:val="20"/>
                      <w:szCs w:val="20"/>
                    </w:rPr>
                    <w:t>-CO.</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14"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2360216</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TITLE: Three body interactions of Solid Helium Calculated within the Einstein Model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Dan DAndrea</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ddandrea@vols.utk.edu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Dan DAndrea</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Robert J. Hinde</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University of Tennessee, Knoxville, TN,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Only</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Three body interactions can become important in solids at higher pressures and densities as the molecules can come into close contact. At low temperatures, accurate studies of three body interactions require averaging the three-body terms over the molecules' zero point motions. An efficient, but approximate, averaging approach is based on a Taylor series expansion of the three-body term. The Taylor series can be developed in two different ways, either (1) as a function of Cartesian (x,y,z) zero point displacements of each atom from its average position, or (2) as a function of the symmetry coordinates of a triangle displaced from its average geometry. The Taylor series approach can be checked through two more accurate, but more time-consuming methods: Gaussian quadrature or Monte Carlo integration of the exact three-body function. Results are presented for solid helium, treated as an Einstein solid, for three different model three-body potential energy functions (Axilrod-Teller, Cohen-Murrell and Cencek). Certain situations cause complications for Gaussian quadrature and Monte Carlo integrations when two helium atoms undergo a close approach. A new approach will be introduced in order to reduce these complications caused by low probability triangle configurations. All results will be compared with quantum Monte Carlo simulations.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15"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2360557</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Comparison of two potential energy functions for predicting fit-for-purpose fuel properties using molecular dynamics.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M. Knippenberg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mknippe@gmail.com</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M. T. Knippenberg</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Barbara L. Mooney</w:t>
                  </w:r>
                  <w:r w:rsidRPr="00092E0E">
                    <w:rPr>
                      <w:rFonts w:ascii="Times New Roman" w:eastAsia="Times New Roman" w:hAnsi="Times New Roman" w:cs="Times New Roman"/>
                      <w:sz w:val="20"/>
                      <w:szCs w:val="20"/>
                      <w:vertAlign w:val="superscript"/>
                    </w:rPr>
                    <w:t>2</w:t>
                  </w:r>
                  <w:r w:rsidRPr="00092E0E">
                    <w:rPr>
                      <w:rFonts w:ascii="Times New Roman" w:eastAsia="Times New Roman" w:hAnsi="Times New Roman" w:cs="Times New Roman"/>
                      <w:sz w:val="20"/>
                      <w:szCs w:val="20"/>
                    </w:rPr>
                    <w:t>, Judith A. Harrison</w:t>
                  </w:r>
                  <w:r w:rsidRPr="00092E0E">
                    <w:rPr>
                      <w:rFonts w:ascii="Times New Roman" w:eastAsia="Times New Roman" w:hAnsi="Times New Roman" w:cs="Times New Roman"/>
                      <w:sz w:val="20"/>
                      <w:szCs w:val="20"/>
                      <w:vertAlign w:val="superscript"/>
                    </w:rPr>
                    <w:t>2</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Department of Chemistry, High Point University, High Point, NC, United States. </w:t>
                  </w:r>
                  <w:r w:rsidRPr="00092E0E">
                    <w:rPr>
                      <w:rFonts w:ascii="Times New Roman" w:eastAsia="Times New Roman" w:hAnsi="Times New Roman" w:cs="Times New Roman"/>
                      <w:sz w:val="20"/>
                      <w:szCs w:val="20"/>
                    </w:rPr>
                    <w:br/>
                    <w:t xml:space="preserve">2. Department of </w:t>
                  </w:r>
                  <w:proofErr w:type="gramStart"/>
                  <w:r w:rsidRPr="00092E0E">
                    <w:rPr>
                      <w:rFonts w:ascii="Times New Roman" w:eastAsia="Times New Roman" w:hAnsi="Times New Roman" w:cs="Times New Roman"/>
                      <w:sz w:val="20"/>
                      <w:szCs w:val="20"/>
                    </w:rPr>
                    <w:t>Chemistry,</w:t>
                  </w:r>
                  <w:proofErr w:type="gramEnd"/>
                  <w:r w:rsidRPr="00092E0E">
                    <w:rPr>
                      <w:rFonts w:ascii="Times New Roman" w:eastAsia="Times New Roman" w:hAnsi="Times New Roman" w:cs="Times New Roman"/>
                      <w:sz w:val="20"/>
                      <w:szCs w:val="20"/>
                    </w:rPr>
                    <w:t xml:space="preserve"> United States Naval Academy, Annapolis, MD,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Preferred</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 xml:space="preserve">The United States Navy is interested in the synthesis and use of hydrocarbon-based renewable fuels. Hydrotreated Renewable Fuels (HRFs) include aromatic, branched and linear molecules. Synthesis of these HRFs allow for compositions that differ from those of traditional fossil fuels. Due to their complexity it is not obvious which compositions are suitable for </w:t>
                  </w:r>
                  <w:proofErr w:type="gramStart"/>
                  <w:r w:rsidRPr="00092E0E">
                    <w:rPr>
                      <w:rFonts w:ascii="Times New Roman" w:eastAsia="Times New Roman" w:hAnsi="Times New Roman" w:cs="Times New Roman"/>
                      <w:sz w:val="20"/>
                      <w:szCs w:val="20"/>
                    </w:rPr>
                    <w:t>use.</w:t>
                  </w:r>
                  <w:proofErr w:type="gramEnd"/>
                  <w:r w:rsidRPr="00092E0E">
                    <w:rPr>
                      <w:rFonts w:ascii="Times New Roman" w:eastAsia="Times New Roman" w:hAnsi="Times New Roman" w:cs="Times New Roman"/>
                      <w:sz w:val="20"/>
                      <w:szCs w:val="20"/>
                    </w:rPr>
                    <w:t xml:space="preserve"> Two potential energy functions, the Optimized Potentials for Liquid Simulation (OPLS)</w:t>
                  </w:r>
                  <w:r w:rsidRPr="00092E0E">
                    <w:rPr>
                      <w:rFonts w:ascii="Times New Roman" w:eastAsia="Times New Roman" w:hAnsi="Times New Roman" w:cs="Times New Roman"/>
                      <w:sz w:val="20"/>
                      <w:szCs w:val="20"/>
                      <w:vertAlign w:val="superscript"/>
                    </w:rPr>
                    <w:t xml:space="preserve">1 </w:t>
                  </w:r>
                  <w:r w:rsidRPr="00092E0E">
                    <w:rPr>
                      <w:rFonts w:ascii="Times New Roman" w:eastAsia="Times New Roman" w:hAnsi="Times New Roman" w:cs="Times New Roman"/>
                      <w:sz w:val="20"/>
                      <w:szCs w:val="20"/>
                    </w:rPr>
                    <w:t>and the Adaptive Intermolecular Reactive Empirical Bond-Order Potential (AIREBO)</w:t>
                  </w:r>
                  <w:r w:rsidRPr="00092E0E">
                    <w:rPr>
                      <w:rFonts w:ascii="Times New Roman" w:eastAsia="Times New Roman" w:hAnsi="Times New Roman" w:cs="Times New Roman"/>
                      <w:sz w:val="20"/>
                      <w:szCs w:val="20"/>
                      <w:vertAlign w:val="superscript"/>
                    </w:rPr>
                    <w:t>2,3</w:t>
                  </w:r>
                  <w:r w:rsidRPr="00092E0E">
                    <w:rPr>
                      <w:rFonts w:ascii="Times New Roman" w:eastAsia="Times New Roman" w:hAnsi="Times New Roman" w:cs="Times New Roman"/>
                      <w:sz w:val="20"/>
                      <w:szCs w:val="20"/>
                    </w:rPr>
                    <w:t xml:space="preserve"> are used to predict fit-for-purpose properties such as density and bulk modulus of fuel blend candidates using computer simulations to allow experimental researchers to focus efforts on blends that meet certain criteria. Molecular dynamics (MD) simulations of individual fuel components show excellent agreement with experimental density, enthalpy of vaporization, and bulk modulus. Two binary mixtures composed of the straight-chain alkane </w:t>
                  </w:r>
                  <w:r w:rsidRPr="00092E0E">
                    <w:rPr>
                      <w:rFonts w:ascii="Times New Roman" w:eastAsia="Times New Roman" w:hAnsi="Times New Roman" w:cs="Times New Roman"/>
                      <w:i/>
                      <w:iCs/>
                      <w:sz w:val="20"/>
                      <w:szCs w:val="20"/>
                    </w:rPr>
                    <w:t>n</w:t>
                  </w:r>
                  <w:r w:rsidRPr="00092E0E">
                    <w:rPr>
                      <w:rFonts w:ascii="Times New Roman" w:eastAsia="Times New Roman" w:hAnsi="Times New Roman" w:cs="Times New Roman"/>
                      <w:sz w:val="20"/>
                      <w:szCs w:val="20"/>
                    </w:rPr>
                    <w:t xml:space="preserve">-dodecane and branched 2,2,4,4,6,8,8-heptamethylnonane as well as </w:t>
                  </w:r>
                  <w:r w:rsidRPr="00092E0E">
                    <w:rPr>
                      <w:rFonts w:ascii="Times New Roman" w:eastAsia="Times New Roman" w:hAnsi="Times New Roman" w:cs="Times New Roman"/>
                      <w:i/>
                      <w:iCs/>
                      <w:sz w:val="20"/>
                      <w:szCs w:val="20"/>
                    </w:rPr>
                    <w:t>n</w:t>
                  </w:r>
                  <w:r w:rsidRPr="00092E0E">
                    <w:rPr>
                      <w:rFonts w:ascii="Times New Roman" w:eastAsia="Times New Roman" w:hAnsi="Times New Roman" w:cs="Times New Roman"/>
                      <w:sz w:val="20"/>
                      <w:szCs w:val="20"/>
                    </w:rPr>
                    <w:t>-hexadecane and 2,2,4,4,6,8,8-heptamethylnonane are simulated over a range of mole fractions and their physical properties are compared to experimental mixtures. Finally, fuel blends containing up to twelve fuel components are investigated.</w:t>
                  </w:r>
                  <w:r w:rsidRPr="00092E0E">
                    <w:rPr>
                      <w:rFonts w:ascii="Times New Roman" w:eastAsia="Times New Roman" w:hAnsi="Times New Roman" w:cs="Times New Roman"/>
                      <w:sz w:val="20"/>
                      <w:szCs w:val="20"/>
                    </w:rPr>
                    <w:br/>
                  </w:r>
                  <w:r w:rsidRPr="00092E0E">
                    <w:rPr>
                      <w:rFonts w:ascii="Times New Roman" w:eastAsia="Times New Roman" w:hAnsi="Times New Roman" w:cs="Times New Roman"/>
                      <w:sz w:val="20"/>
                      <w:szCs w:val="20"/>
                    </w:rPr>
                    <w:br/>
                  </w:r>
                  <w:r w:rsidRPr="00092E0E">
                    <w:rPr>
                      <w:rFonts w:ascii="Times New Roman" w:eastAsia="Times New Roman" w:hAnsi="Times New Roman" w:cs="Times New Roman"/>
                      <w:sz w:val="20"/>
                      <w:szCs w:val="20"/>
                      <w:vertAlign w:val="superscript"/>
                    </w:rPr>
                    <w:t xml:space="preserve">1 </w:t>
                  </w:r>
                  <w:r w:rsidRPr="00092E0E">
                    <w:rPr>
                      <w:rFonts w:ascii="Times New Roman" w:eastAsia="Times New Roman" w:hAnsi="Times New Roman" w:cs="Times New Roman"/>
                      <w:sz w:val="20"/>
                      <w:szCs w:val="20"/>
                    </w:rPr>
                    <w:t xml:space="preserve">W.L. Jorgensen, </w:t>
                  </w:r>
                  <w:r w:rsidRPr="00092E0E">
                    <w:rPr>
                      <w:rFonts w:ascii="Times New Roman" w:eastAsia="Times New Roman" w:hAnsi="Times New Roman" w:cs="Times New Roman"/>
                      <w:i/>
                      <w:iCs/>
                      <w:sz w:val="20"/>
                      <w:szCs w:val="20"/>
                    </w:rPr>
                    <w:t xml:space="preserve">et. </w:t>
                  </w:r>
                  <w:proofErr w:type="gramStart"/>
                  <w:r w:rsidRPr="00092E0E">
                    <w:rPr>
                      <w:rFonts w:ascii="Times New Roman" w:eastAsia="Times New Roman" w:hAnsi="Times New Roman" w:cs="Times New Roman"/>
                      <w:i/>
                      <w:iCs/>
                      <w:sz w:val="20"/>
                      <w:szCs w:val="20"/>
                    </w:rPr>
                    <w:t>al</w:t>
                  </w:r>
                  <w:proofErr w:type="gramEnd"/>
                  <w:r w:rsidRPr="00092E0E">
                    <w:rPr>
                      <w:rFonts w:ascii="Times New Roman" w:eastAsia="Times New Roman" w:hAnsi="Times New Roman" w:cs="Times New Roman"/>
                      <w:i/>
                      <w:iCs/>
                      <w:sz w:val="20"/>
                      <w:szCs w:val="20"/>
                    </w:rPr>
                    <w:t>.</w:t>
                  </w:r>
                  <w:r w:rsidRPr="00092E0E">
                    <w:rPr>
                      <w:rFonts w:ascii="Times New Roman" w:eastAsia="Times New Roman" w:hAnsi="Times New Roman" w:cs="Times New Roman"/>
                      <w:sz w:val="20"/>
                      <w:szCs w:val="20"/>
                    </w:rPr>
                    <w:t xml:space="preserve"> J. Am. Chem. Soc. 118, 11225 (1996)</w:t>
                  </w:r>
                  <w:r w:rsidRPr="00092E0E">
                    <w:rPr>
                      <w:rFonts w:ascii="Times New Roman" w:eastAsia="Times New Roman" w:hAnsi="Times New Roman" w:cs="Times New Roman"/>
                      <w:sz w:val="20"/>
                      <w:szCs w:val="20"/>
                    </w:rPr>
                    <w:br/>
                  </w:r>
                  <w:r w:rsidRPr="00092E0E">
                    <w:rPr>
                      <w:rFonts w:ascii="Times New Roman" w:eastAsia="Times New Roman" w:hAnsi="Times New Roman" w:cs="Times New Roman"/>
                      <w:sz w:val="20"/>
                      <w:szCs w:val="20"/>
                      <w:vertAlign w:val="superscript"/>
                    </w:rPr>
                    <w:t xml:space="preserve">2 </w:t>
                  </w:r>
                  <w:r w:rsidRPr="00092E0E">
                    <w:rPr>
                      <w:rFonts w:ascii="Times New Roman" w:eastAsia="Times New Roman" w:hAnsi="Times New Roman" w:cs="Times New Roman"/>
                      <w:sz w:val="20"/>
                      <w:szCs w:val="20"/>
                    </w:rPr>
                    <w:t xml:space="preserve">S.J. Stuart, </w:t>
                  </w:r>
                  <w:r w:rsidRPr="00092E0E">
                    <w:rPr>
                      <w:rFonts w:ascii="Times New Roman" w:eastAsia="Times New Roman" w:hAnsi="Times New Roman" w:cs="Times New Roman"/>
                      <w:i/>
                      <w:iCs/>
                      <w:sz w:val="20"/>
                      <w:szCs w:val="20"/>
                    </w:rPr>
                    <w:t>et al.</w:t>
                  </w:r>
                  <w:r w:rsidRPr="00092E0E">
                    <w:rPr>
                      <w:rFonts w:ascii="Times New Roman" w:eastAsia="Times New Roman" w:hAnsi="Times New Roman" w:cs="Times New Roman"/>
                      <w:sz w:val="20"/>
                      <w:szCs w:val="20"/>
                    </w:rPr>
                    <w:t>, J. Chem. Phys. 112, 6472 (2000)</w:t>
                  </w:r>
                  <w:r w:rsidRPr="00092E0E">
                    <w:rPr>
                      <w:rFonts w:ascii="Times New Roman" w:eastAsia="Times New Roman" w:hAnsi="Times New Roman" w:cs="Times New Roman"/>
                      <w:sz w:val="20"/>
                      <w:szCs w:val="20"/>
                    </w:rPr>
                    <w:br/>
                  </w:r>
                  <w:r w:rsidRPr="00092E0E">
                    <w:rPr>
                      <w:rFonts w:ascii="Times New Roman" w:eastAsia="Times New Roman" w:hAnsi="Times New Roman" w:cs="Times New Roman"/>
                      <w:sz w:val="20"/>
                      <w:szCs w:val="20"/>
                      <w:vertAlign w:val="superscript"/>
                    </w:rPr>
                    <w:t xml:space="preserve">3 </w:t>
                  </w:r>
                  <w:r w:rsidRPr="00092E0E">
                    <w:rPr>
                      <w:rFonts w:ascii="Times New Roman" w:eastAsia="Times New Roman" w:hAnsi="Times New Roman" w:cs="Times New Roman"/>
                      <w:sz w:val="20"/>
                      <w:szCs w:val="20"/>
                    </w:rPr>
                    <w:t>A. Liu, and S.J. Stuart, J. Comput. Chem. 29, 601 (2008)</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16"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2360723</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Computational studies of spin trapping of biologically relevant radicals by new heteroaryl nitrones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Eyram Asempa</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asempa@goldmail.etsu.edu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Eyram Asempa</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Scott J. Kirkby</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Chemistry, East Tennessee State University, Johnson city, TN,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Preferred</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 xml:space="preserve">New heteroaryl nitrone spin traps have an excellent ability to add free radicals to produce stable products. The effects of new heteroaryl (thiadiazoyl and furoxanyl) substituents on a parent nitrone spin trap have been computationally studied using </w:t>
                  </w:r>
                  <w:r w:rsidRPr="00092E0E">
                    <w:rPr>
                      <w:rFonts w:ascii="Times New Roman" w:eastAsia="Times New Roman" w:hAnsi="Times New Roman" w:cs="Times New Roman"/>
                      <w:i/>
                      <w:iCs/>
                      <w:sz w:val="20"/>
                      <w:szCs w:val="20"/>
                    </w:rPr>
                    <w:t>ab initio</w:t>
                  </w:r>
                  <w:r w:rsidRPr="00092E0E">
                    <w:rPr>
                      <w:rFonts w:ascii="Times New Roman" w:eastAsia="Times New Roman" w:hAnsi="Times New Roman" w:cs="Times New Roman"/>
                      <w:sz w:val="20"/>
                      <w:szCs w:val="20"/>
                    </w:rPr>
                    <w:t xml:space="preserve"> methods at the Hartree-Fock (HF) and second-order Møller-Plesset (MP2) levels with the 6-</w:t>
                  </w:r>
                  <w:proofErr w:type="gramStart"/>
                  <w:r w:rsidRPr="00092E0E">
                    <w:rPr>
                      <w:rFonts w:ascii="Times New Roman" w:eastAsia="Times New Roman" w:hAnsi="Times New Roman" w:cs="Times New Roman"/>
                      <w:sz w:val="20"/>
                      <w:szCs w:val="20"/>
                    </w:rPr>
                    <w:t>31G(</w:t>
                  </w:r>
                  <w:proofErr w:type="gramEnd"/>
                  <w:r w:rsidRPr="00092E0E">
                    <w:rPr>
                      <w:rFonts w:ascii="Times New Roman" w:eastAsia="Times New Roman" w:hAnsi="Times New Roman" w:cs="Times New Roman"/>
                      <w:sz w:val="20"/>
                      <w:szCs w:val="20"/>
                    </w:rPr>
                    <w:t>d), cc-pVDZ and cc-pVTZ basis sets. The calculations show that new heteroaryl nitrones are very reactive, with thiadiazoyl substituted-nitrones being the most reactive spin traps and 1</w:t>
                  </w:r>
                  <w:proofErr w:type="gramStart"/>
                  <w:r w:rsidRPr="00092E0E">
                    <w:rPr>
                      <w:rFonts w:ascii="Times New Roman" w:eastAsia="Times New Roman" w:hAnsi="Times New Roman" w:cs="Times New Roman"/>
                      <w:sz w:val="20"/>
                      <w:szCs w:val="20"/>
                    </w:rPr>
                    <w:t>,2,4</w:t>
                  </w:r>
                  <w:proofErr w:type="gramEnd"/>
                  <w:r w:rsidRPr="00092E0E">
                    <w:rPr>
                      <w:rFonts w:ascii="Times New Roman" w:eastAsia="Times New Roman" w:hAnsi="Times New Roman" w:cs="Times New Roman"/>
                      <w:sz w:val="20"/>
                      <w:szCs w:val="20"/>
                    </w:rPr>
                    <w:t xml:space="preserve"> – thiadiazol -5-yl nitrone is the most polar spin trap. Additionally, the thermodynamics of the spin trapping of new heteroaryl nitrones at C-site and O-site with the biologically relevant radicals (•H, •CH</w:t>
                  </w:r>
                  <w:r w:rsidRPr="00092E0E">
                    <w:rPr>
                      <w:rFonts w:ascii="Times New Roman" w:eastAsia="Times New Roman" w:hAnsi="Times New Roman" w:cs="Times New Roman"/>
                      <w:sz w:val="20"/>
                      <w:szCs w:val="20"/>
                      <w:vertAlign w:val="subscript"/>
                    </w:rPr>
                    <w:t>3</w:t>
                  </w:r>
                  <w:r w:rsidRPr="00092E0E">
                    <w:rPr>
                      <w:rFonts w:ascii="Times New Roman" w:eastAsia="Times New Roman" w:hAnsi="Times New Roman" w:cs="Times New Roman"/>
                      <w:sz w:val="20"/>
                      <w:szCs w:val="20"/>
                    </w:rPr>
                    <w:t xml:space="preserve"> and •OH) has been studied using HF/6-</w:t>
                  </w:r>
                  <w:proofErr w:type="gramStart"/>
                  <w:r w:rsidRPr="00092E0E">
                    <w:rPr>
                      <w:rFonts w:ascii="Times New Roman" w:eastAsia="Times New Roman" w:hAnsi="Times New Roman" w:cs="Times New Roman"/>
                      <w:sz w:val="20"/>
                      <w:szCs w:val="20"/>
                    </w:rPr>
                    <w:t>31G(</w:t>
                  </w:r>
                  <w:proofErr w:type="gramEnd"/>
                  <w:r w:rsidRPr="00092E0E">
                    <w:rPr>
                      <w:rFonts w:ascii="Times New Roman" w:eastAsia="Times New Roman" w:hAnsi="Times New Roman" w:cs="Times New Roman"/>
                      <w:sz w:val="20"/>
                      <w:szCs w:val="20"/>
                    </w:rPr>
                    <w:t>d). The calculations show that thermodynamically, the spin trapping of furoxan-3-yl nitrone with •H, •CH</w:t>
                  </w:r>
                  <w:r w:rsidRPr="00092E0E">
                    <w:rPr>
                      <w:rFonts w:ascii="Times New Roman" w:eastAsia="Times New Roman" w:hAnsi="Times New Roman" w:cs="Times New Roman"/>
                      <w:sz w:val="20"/>
                      <w:szCs w:val="20"/>
                      <w:vertAlign w:val="subscript"/>
                    </w:rPr>
                    <w:t>3</w:t>
                  </w:r>
                  <w:r w:rsidRPr="00092E0E">
                    <w:rPr>
                      <w:rFonts w:ascii="Times New Roman" w:eastAsia="Times New Roman" w:hAnsi="Times New Roman" w:cs="Times New Roman"/>
                      <w:sz w:val="20"/>
                      <w:szCs w:val="20"/>
                    </w:rPr>
                    <w:t xml:space="preserve"> and •OH radicals gives the most stable spin adducts at the C site while furoxan-4-yl nitrone with these radicals gives the most stable spin adducts at the O site. However, the spin trapping at the C site of new heteroaryl nitrones is highly exothermic as compared to the O site of the nitrone, with no activation energy barrier for any of the radicals studied. Finally, the thermodynamics of the spin trapping of DMPO, PBN and FxBN with •OH radical has also been studied using Density Functional Theory (DFT) with M06/6-31*. The spin trapping of FxBN with •OH is thermodynamically favored over the spin trapping of DMPO and PBN with •OH. The double spin adduct of FxBN with •OH radical is thermodynamically favored over the monoadduct of FxBN with •OH radical. This work provides the understanding of the chemical and physical basis that influences the spin trapping efficiency of the new heteroaryl nitrones with biologically relevant radicals and the corresponding stability of their spin adducts.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17"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2360894</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Designing neutralizing antibodies for Marburg and Ebola Viruses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Amandeep Sangha</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amandeep.k.sangha@vanderbilt.edu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Amandeep Sangha</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Jens Meiler</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James E. Crowe</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Vanderbilt University, Nashville, TN,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Preferred</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The filoviruses, Ebola and Marburg, cause deadly hemorrhagic fever in humans. Absence of any proven effective treatment for filovirus-infected patients has costed thousands of lives in the last Ebola virus outbreak. Mapping the molecular interactions of the virus glycoprotein (GP) with the antibody is important for therapeutic strategies. Starting with a low-resolution structure of Marburg GP complexed with an antibody MR78, we first refine the structure using phenix.rosetta protocols. We determine the critical antigen-antibody interactions required for neutralizing the virus. Further, we generate a position specific scoring matrix that can be used to rapidly screen and compare the antibody repertoire of infected and naïve humans to find antibodies that are close in sequence and structure to neutralizing antibodies. These antibodies can further be optimized to enhance the binding affinity and neutralization properties against filoviruses.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18"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2361351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Theoretical Aspects of the Molecular Imprinting of Penicillin</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Julia Saloni</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julia.m.saloni@jsums.edu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Julia M. Saloni</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Dept of Chem and Biochem, Jackson State </w:t>
                  </w:r>
                  <w:proofErr w:type="gramStart"/>
                  <w:r w:rsidRPr="00092E0E">
                    <w:rPr>
                      <w:rFonts w:ascii="Times New Roman" w:eastAsia="Times New Roman" w:hAnsi="Times New Roman" w:cs="Times New Roman"/>
                      <w:sz w:val="20"/>
                      <w:szCs w:val="20"/>
                    </w:rPr>
                    <w:t>University ,</w:t>
                  </w:r>
                  <w:proofErr w:type="gramEnd"/>
                  <w:r w:rsidRPr="00092E0E">
                    <w:rPr>
                      <w:rFonts w:ascii="Times New Roman" w:eastAsia="Times New Roman" w:hAnsi="Times New Roman" w:cs="Times New Roman"/>
                      <w:sz w:val="20"/>
                      <w:szCs w:val="20"/>
                    </w:rPr>
                    <w:t xml:space="preserve"> Jackson, MS,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Preferred</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This work introduces a computational study on the molecular imprinting of penicillin in methyl methacrylate/ methacrylic acid copolymer. Presented copolymer can be used as the enteric coating for antibiotic to create a barrier protecting the medication from low pH of the stomach. This computational study presents: penicillin and polymer active sites, cave models with interaction energy analysis (between antibiotic and monomers), solvent influence on the binding energy, and pH effect on the polymer coating.</w:t>
                  </w:r>
                  <w:r w:rsidRPr="00092E0E">
                    <w:rPr>
                      <w:rFonts w:ascii="Times New Roman" w:eastAsia="Times New Roman" w:hAnsi="Times New Roman" w:cs="Times New Roman"/>
                      <w:sz w:val="20"/>
                      <w:szCs w:val="20"/>
                    </w:rPr>
                    <w:br/>
                    <w:t>The density functional theory, DFT, method has been used for all structural, vibration frequency, and solvent calculations.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19"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2361366</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TITLE: Acquiring Accurate Absorption Intensities for HNO from Ab Initio Calculations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Harkiran Dhah</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hkdhah@gmail.com</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Harkiran Dhah</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Robert J. Hinde</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University of Tennessee, Knoxville, TN,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Only</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Experiments carried out at the University of Wyoming have synthesized HNO through the reaction, in a solid molecular hydrogen matrix, of hydrogen atoms with NO radicals. An analysis of the kinetics of this process would provide information about the role that the hydrogen matrix plays in promoting or inhibiting the H + NO reaction. This kinetic analysis can be carried out using in situ infrared absorption spectroscopy to monitor the HNO concentration as a function of time, but theoretical studies are first needed to obtain accurate absorption intensities for HNO. Over two decades have passed since the most recent (1993) study of the HNO absorption intensities; this study used a double harmonic treatment based on molecular orbital calculations that employed, by today’s standard, very small basis sets. Our work shows that the assumptions established by the double harmonic approximation fail to provide accurate behaviors of energies and dipole moments of HNO. This is in part because the unusually long and weak HN bond in HNO leads to substantial anharmonic behavior. Improvements on the 1993 study will be accomplished by employing modern basis sets and by going beyond the double harmonic approximation to calculate absorption intensities.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20"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2361885</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Calculation of surface tension of spherical interfaces using molecular dynamics simulations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Steve Nielsen</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steven.nielsen@utdallas.edu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Steve O. Nielsen</w:t>
                  </w:r>
                  <w:r w:rsidRPr="00092E0E">
                    <w:rPr>
                      <w:rFonts w:ascii="Times New Roman" w:eastAsia="Times New Roman" w:hAnsi="Times New Roman" w:cs="Times New Roman"/>
                      <w:sz w:val="20"/>
                      <w:szCs w:val="20"/>
                      <w:vertAlign w:val="superscript"/>
                    </w:rPr>
                    <w:t>2</w:t>
                  </w:r>
                  <w:r w:rsidRPr="00092E0E">
                    <w:rPr>
                      <w:rFonts w:ascii="Times New Roman" w:eastAsia="Times New Roman" w:hAnsi="Times New Roman" w:cs="Times New Roman"/>
                      <w:sz w:val="20"/>
                      <w:szCs w:val="20"/>
                    </w:rPr>
                    <w:t>, Eli Sanchez</w:t>
                  </w:r>
                  <w:r w:rsidRPr="00092E0E">
                    <w:rPr>
                      <w:rFonts w:ascii="Times New Roman" w:eastAsia="Times New Roman" w:hAnsi="Times New Roman" w:cs="Times New Roman"/>
                      <w:sz w:val="20"/>
                      <w:szCs w:val="20"/>
                      <w:vertAlign w:val="superscript"/>
                    </w:rPr>
                    <w:t>3</w:t>
                  </w:r>
                  <w:r w:rsidRPr="00092E0E">
                    <w:rPr>
                      <w:rFonts w:ascii="Times New Roman" w:eastAsia="Times New Roman" w:hAnsi="Times New Roman" w:cs="Times New Roman"/>
                      <w:sz w:val="20"/>
                      <w:szCs w:val="20"/>
                    </w:rPr>
                    <w:t>, Wataru Shinoda</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Takenobu Nakamura</w:t>
                  </w:r>
                  <w:r w:rsidRPr="00092E0E">
                    <w:rPr>
                      <w:rFonts w:ascii="Times New Roman" w:eastAsia="Times New Roman" w:hAnsi="Times New Roman" w:cs="Times New Roman"/>
                      <w:sz w:val="20"/>
                      <w:szCs w:val="20"/>
                      <w:vertAlign w:val="superscript"/>
                    </w:rPr>
                    <w:t>4</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Department of Applied Chemistry, Nagoya University, Nagoya, Japan. </w:t>
                  </w:r>
                  <w:r w:rsidRPr="00092E0E">
                    <w:rPr>
                      <w:rFonts w:ascii="Times New Roman" w:eastAsia="Times New Roman" w:hAnsi="Times New Roman" w:cs="Times New Roman"/>
                      <w:sz w:val="20"/>
                      <w:szCs w:val="20"/>
                    </w:rPr>
                    <w:br/>
                    <w:t xml:space="preserve">2. Dept of Chemistry </w:t>
                  </w:r>
                  <w:proofErr w:type="gramStart"/>
                  <w:r w:rsidRPr="00092E0E">
                    <w:rPr>
                      <w:rFonts w:ascii="Times New Roman" w:eastAsia="Times New Roman" w:hAnsi="Times New Roman" w:cs="Times New Roman"/>
                      <w:sz w:val="20"/>
                      <w:szCs w:val="20"/>
                    </w:rPr>
                    <w:t>BE</w:t>
                  </w:r>
                  <w:proofErr w:type="gramEnd"/>
                  <w:r w:rsidRPr="00092E0E">
                    <w:rPr>
                      <w:rFonts w:ascii="Times New Roman" w:eastAsia="Times New Roman" w:hAnsi="Times New Roman" w:cs="Times New Roman"/>
                      <w:sz w:val="20"/>
                      <w:szCs w:val="20"/>
                    </w:rPr>
                    <w:t xml:space="preserve"> 26, University of Texas at Dallas, Richardson, TX, United States. </w:t>
                  </w:r>
                  <w:r w:rsidRPr="00092E0E">
                    <w:rPr>
                      <w:rFonts w:ascii="Times New Roman" w:eastAsia="Times New Roman" w:hAnsi="Times New Roman" w:cs="Times New Roman"/>
                      <w:sz w:val="20"/>
                      <w:szCs w:val="20"/>
                    </w:rPr>
                    <w:br/>
                    <w:t xml:space="preserve">3. Chemistry, University of Texas at Dallas, Richardson, TX, United States. </w:t>
                  </w:r>
                  <w:r w:rsidRPr="00092E0E">
                    <w:rPr>
                      <w:rFonts w:ascii="Times New Roman" w:eastAsia="Times New Roman" w:hAnsi="Times New Roman" w:cs="Times New Roman"/>
                      <w:sz w:val="20"/>
                      <w:szCs w:val="20"/>
                    </w:rPr>
                    <w:br/>
                    <w:t xml:space="preserve">4. Advanced Institute for Materials Research, Tohoku University, Sendai, Japan.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Only</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 xml:space="preserve">For planar interfaces the calculation of surface tension is straightforward (unless a cystalline solid is involved). However, for spherical interfaces this is not the case. Here we will compare two methods: one method is the mechanical route involving the pressure tensor (in spherical polar coordinates), specifically from T. Nakamura, W. Shinoda, T. Ikeshoji, </w:t>
                  </w:r>
                  <w:r w:rsidRPr="00092E0E">
                    <w:rPr>
                      <w:rFonts w:ascii="Times New Roman" w:eastAsia="Times New Roman" w:hAnsi="Times New Roman" w:cs="Times New Roman"/>
                      <w:i/>
                      <w:iCs/>
                      <w:sz w:val="20"/>
                      <w:szCs w:val="20"/>
                    </w:rPr>
                    <w:t xml:space="preserve">Novel Numerical Method for Calculating the Pressure Tensor in Spherical Coordinates for Molecular Systems </w:t>
                  </w:r>
                  <w:r w:rsidRPr="00092E0E">
                    <w:rPr>
                      <w:rFonts w:ascii="Times New Roman" w:eastAsia="Times New Roman" w:hAnsi="Times New Roman" w:cs="Times New Roman"/>
                      <w:sz w:val="20"/>
                      <w:szCs w:val="20"/>
                    </w:rPr>
                    <w:t xml:space="preserve">J. Chem. Phys. </w:t>
                  </w:r>
                  <w:r w:rsidRPr="00092E0E">
                    <w:rPr>
                      <w:rFonts w:ascii="Times New Roman" w:eastAsia="Times New Roman" w:hAnsi="Times New Roman" w:cs="Times New Roman"/>
                      <w:b/>
                      <w:bCs/>
                      <w:sz w:val="20"/>
                      <w:szCs w:val="20"/>
                    </w:rPr>
                    <w:t>135</w:t>
                  </w:r>
                  <w:r w:rsidRPr="00092E0E">
                    <w:rPr>
                      <w:rFonts w:ascii="Times New Roman" w:eastAsia="Times New Roman" w:hAnsi="Times New Roman" w:cs="Times New Roman"/>
                      <w:sz w:val="20"/>
                      <w:szCs w:val="20"/>
                    </w:rPr>
                    <w:t xml:space="preserve">, 094106 (2011). The second method is developed from C. Chiu, R. Ranatunga, D. Flores, D. Pérez, P. Moore, W. Shinoda, and S. Nielsen </w:t>
                  </w:r>
                  <w:r w:rsidRPr="00092E0E">
                    <w:rPr>
                      <w:rFonts w:ascii="Times New Roman" w:eastAsia="Times New Roman" w:hAnsi="Times New Roman" w:cs="Times New Roman"/>
                      <w:i/>
                      <w:iCs/>
                      <w:sz w:val="20"/>
                      <w:szCs w:val="20"/>
                    </w:rPr>
                    <w:t xml:space="preserve">A mean field approach for computing solid-liquid surface tension for nanoscale interfaces </w:t>
                  </w:r>
                  <w:r w:rsidRPr="00092E0E">
                    <w:rPr>
                      <w:rFonts w:ascii="Times New Roman" w:eastAsia="Times New Roman" w:hAnsi="Times New Roman" w:cs="Times New Roman"/>
                      <w:sz w:val="20"/>
                      <w:szCs w:val="20"/>
                    </w:rPr>
                    <w:t xml:space="preserve">J. Chem. Phys. </w:t>
                  </w:r>
                  <w:r w:rsidRPr="00092E0E">
                    <w:rPr>
                      <w:rFonts w:ascii="Times New Roman" w:eastAsia="Times New Roman" w:hAnsi="Times New Roman" w:cs="Times New Roman"/>
                      <w:b/>
                      <w:bCs/>
                      <w:sz w:val="20"/>
                      <w:szCs w:val="20"/>
                    </w:rPr>
                    <w:t>132</w:t>
                  </w:r>
                  <w:r w:rsidRPr="00092E0E">
                    <w:rPr>
                      <w:rFonts w:ascii="Times New Roman" w:eastAsia="Times New Roman" w:hAnsi="Times New Roman" w:cs="Times New Roman"/>
                      <w:sz w:val="20"/>
                      <w:szCs w:val="20"/>
                    </w:rPr>
                    <w:t xml:space="preserve"> 054706 (2010).</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21"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2364935</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Theoretical Study of Metal Monoalkylidines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Shelby Dickerson</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sddickerson93@yahoo.com</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Shelby Dickerson</w:t>
                  </w:r>
                  <w:r w:rsidRPr="00092E0E">
                    <w:rPr>
                      <w:rFonts w:ascii="Times New Roman" w:eastAsia="Times New Roman" w:hAnsi="Times New Roman" w:cs="Times New Roman"/>
                      <w:sz w:val="20"/>
                      <w:szCs w:val="20"/>
                      <w:vertAlign w:val="superscript"/>
                    </w:rPr>
                    <w:t>2</w:t>
                  </w:r>
                  <w:r w:rsidRPr="00092E0E">
                    <w:rPr>
                      <w:rFonts w:ascii="Times New Roman" w:eastAsia="Times New Roman" w:hAnsi="Times New Roman" w:cs="Times New Roman"/>
                      <w:sz w:val="20"/>
                      <w:szCs w:val="20"/>
                    </w:rPr>
                    <w:t>, Nathan J. Deyonker</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Chemistry, The University of Memphis, Memphis, TN, United States. </w:t>
                  </w:r>
                  <w:r w:rsidRPr="00092E0E">
                    <w:rPr>
                      <w:rFonts w:ascii="Times New Roman" w:eastAsia="Times New Roman" w:hAnsi="Times New Roman" w:cs="Times New Roman"/>
                      <w:sz w:val="20"/>
                      <w:szCs w:val="20"/>
                    </w:rPr>
                    <w:br/>
                    <w:t xml:space="preserve">2. University of Southern Mississipi, Hattiesburg, MS,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Only</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The physical properties of metal monoalkylidine (M-CCH, where M = Sc-Zn) molecules will be evaluated using computational methods. Metal monoalkylidines are isovalent to well-studied metal monocyanides (M-CN), which suggests both will have similar electronic structures. Also, like the M-CN molecules, the M-CCH molecules likely exist in the interstellar medium and could be involved in prebiotic reactions. Different starting geometries were tested to determine the most stable shape of the structures, including linear, bent, and triangular. For low-lying electronic states of each molecule, optimized geometries were obtained via coupled cluster theory with correlation consistent basis sets extrapolated to complete basis set (CBS) limits and compared to results from multireference configuration interaction theory. The bond dissociation energies of MCCH molecules observed with coupled cluster theory were very large. The high bond dissociation energies of the MCCH 3d molecules are similar to the MCN and MNC molecules, suggesting VCCH and NiCCH will be relatively easy to isolate and characterize experimentally. The computed physical properties from this research will assist in astrochemical detection in the interstellar medium, guide synthetic routes and characterization of the compounds in terrestrial labs, and allow calibration of reliable simulated spectra for future gas phase organometallic and prebiotic research.</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22"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2365855</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The pivotal role of di-copper catalysis in 1</w:t>
                  </w:r>
                  <w:proofErr w:type="gramStart"/>
                  <w:r w:rsidRPr="00092E0E">
                    <w:rPr>
                      <w:rFonts w:ascii="Times New Roman" w:eastAsia="Times New Roman" w:hAnsi="Times New Roman" w:cs="Times New Roman"/>
                      <w:sz w:val="20"/>
                      <w:szCs w:val="20"/>
                    </w:rPr>
                    <w:t>,3</w:t>
                  </w:r>
                  <w:proofErr w:type="gramEnd"/>
                  <w:r w:rsidRPr="00092E0E">
                    <w:rPr>
                      <w:rFonts w:ascii="Times New Roman" w:eastAsia="Times New Roman" w:hAnsi="Times New Roman" w:cs="Times New Roman"/>
                      <w:sz w:val="20"/>
                      <w:szCs w:val="20"/>
                    </w:rPr>
                    <w:t>-dipolar cycloadditions: A reaction valley study.</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Thomas Sexton</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tsexton@mail.smu.edu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Thomas M. Sexton</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Dieter H. Cremer</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Southern Methodist University, Dallas, TX,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Only</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Catalysis is one of the major chemical challenges of our time. Transition metal catalysis specifically has the potential to facilitate the synthesis of desirable chemicals. This work is a mechanistic investigation of homogeneous catalysis utilizing an off-mainstream methodology: Rather than investigating just the energetics of a catalyzed reaction, the potential energy surface is explored in the vicinity of the reaction path following it from its start to its end. In this way, the reaction valley is studied for the purpose of unraveling the coupling between vibrational and translational motions of the reaction complex, which is decisive for the mechanistic outcome.</w:t>
                  </w:r>
                  <w:r w:rsidRPr="00092E0E">
                    <w:rPr>
                      <w:rFonts w:ascii="Times New Roman" w:eastAsia="Times New Roman" w:hAnsi="Times New Roman" w:cs="Times New Roman"/>
                      <w:sz w:val="20"/>
                      <w:szCs w:val="20"/>
                    </w:rPr>
                    <w:br/>
                    <w:t>A dual level approach was used, based on Coupled Cluster theory for the energetics and a lower level method for the description of the reaction valley. Decomposition of the reaction path curvature into internal coordinate components allows identification of chemical events, such as rehybridization and bond formation, as they occur along the reaction path (See Figure). Eight Cu-catalyzed 1</w:t>
                  </w:r>
                  <w:proofErr w:type="gramStart"/>
                  <w:r w:rsidRPr="00092E0E">
                    <w:rPr>
                      <w:rFonts w:ascii="Times New Roman" w:eastAsia="Times New Roman" w:hAnsi="Times New Roman" w:cs="Times New Roman"/>
                      <w:sz w:val="20"/>
                      <w:szCs w:val="20"/>
                    </w:rPr>
                    <w:t>,3</w:t>
                  </w:r>
                  <w:proofErr w:type="gramEnd"/>
                  <w:r w:rsidRPr="00092E0E">
                    <w:rPr>
                      <w:rFonts w:ascii="Times New Roman" w:eastAsia="Times New Roman" w:hAnsi="Times New Roman" w:cs="Times New Roman"/>
                      <w:sz w:val="20"/>
                      <w:szCs w:val="20"/>
                    </w:rPr>
                    <w:t>-dipolar cycloadditions to acetylene are analyzed. A di-Cu catalyst converts a one-step mechanism to a two step-mechanism, where each step has a significantly lower barrier than the non-catalyzed reaction. Electronic reasons for the effectiveness of the Cu catalyst in the cycloaddition reactions will be discussed.</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23"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2367501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Computational Investigations of Structural, Electronic, and Wavefunction Effects on Molecular Hyperpolarizability</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David Clabo</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dclabo@fmarion.edu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David A. Clabo</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Morgan McDaniel</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Patricia Snowden</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Miranda Miles</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Francis Marion Univ, Florence, SC,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Preferred</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Having previously found no satisfactory level of theory or basis set at which molecular hyperpolarizability is accurately calculated (with respect to experimentally determined values), this research surveys various other factors that may contribute to large calculated hyperpolarizability (and better agreement with experiments). In addition to molecular electronic features like dipole moment and electrostatic potential, wavefunction contributions from excited states, as determined by CISD and MCSCF wavefunctions have been considered. Small organic reference molecules have been considered as well as substituted saccharins and their transition metal complexes.</w:t>
                  </w:r>
                  <w:r w:rsidRPr="00092E0E">
                    <w:rPr>
                      <w:rFonts w:ascii="Times New Roman" w:eastAsia="Times New Roman" w:hAnsi="Times New Roman" w:cs="Times New Roman"/>
                      <w:sz w:val="20"/>
                      <w:szCs w:val="20"/>
                    </w:rPr>
                    <w:br/>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24"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2367589</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Opportunities for Computational Prediction of Contaminant Toxicity, Fate, and Transport Properties to Support Disaster Response.</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William Alexander</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w.alexander@memphis.edu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William A. Alexander</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Nathan J. Deyonker</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Chemistry, The University of Memphis, Cordova, TN,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Preferred</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The proper response to a chemical spill is predicated on the availability of information regarding the spilled agent. Important engineering and environmental decisions must be made to protect human health and safety. Environmental fate and transport behavior can be predicted from fundamental physicochemical properties, but if these properties are unknown or unavailable at the time of the incident, responders need scientific support. Using the Jan. 2015 Elk River Chemical Spill as a backdrop and motivation, I will highlight the need in the disaster response community for more rigorous, on-demand, accessible, and fast methods to predict physiciochemical properties for use in fate, transport, and toxicity modeling, and detail some of our efforts in this regard. I will issue a call to action and assert that computational chemistry practitioners, not the emergency response community, have a responsibilty to the public good to bring the development and implementation of such models into reality.</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25"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2368518</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Computational Investigation of Linkage Isomerization in Sulfoxide-containing Ruthenium Complexes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Robert Lamb</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rwl99@msstate.edu</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Robert W. Lamb</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Eric V. Dornshuld</w:t>
                  </w:r>
                  <w:r w:rsidRPr="00092E0E">
                    <w:rPr>
                      <w:rFonts w:ascii="Times New Roman" w:eastAsia="Times New Roman" w:hAnsi="Times New Roman" w:cs="Times New Roman"/>
                      <w:sz w:val="20"/>
                      <w:szCs w:val="20"/>
                      <w:vertAlign w:val="superscript"/>
                    </w:rPr>
                    <w:t>1</w:t>
                  </w:r>
                  <w:r w:rsidRPr="00092E0E">
                    <w:rPr>
                      <w:rFonts w:ascii="Times New Roman" w:eastAsia="Times New Roman" w:hAnsi="Times New Roman" w:cs="Times New Roman"/>
                      <w:sz w:val="20"/>
                      <w:szCs w:val="20"/>
                    </w:rPr>
                    <w:t>, Charles E. Webster</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Mississippi State University, Mississippi State, MS,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PRESENTATION TYPE: </w:t>
                  </w:r>
                  <w:r w:rsidRPr="00092E0E">
                    <w:rPr>
                      <w:rFonts w:ascii="Times New Roman" w:eastAsia="Times New Roman" w:hAnsi="Times New Roman" w:cs="Times New Roman"/>
                      <w:sz w:val="20"/>
                      <w:szCs w:val="20"/>
                    </w:rPr>
                    <w:t>Oral Only</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Materials exhibiting switchable electrochemical properties is an area of interest for the development of novel memory storage devices. Organometallic complexes that exhibit linkage isomerism are potential targets for these applications. Previous work has shown ruthenium-centered complexes with sulfoxide ligands to be preferentially either S-bound or O-bound, depending on the oxidation state of the metal center. In the current computational study employing density functional theory and continuum solvation models, a systematic investigation of the kinetics, thermodynamics, and electrochemistry of these systems is used as the basis for the interpretation of existing and design of novel systems.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240" w:line="240" w:lineRule="auto"/>
              <w:rPr>
                <w:rFonts w:ascii="Times New Roman" w:eastAsia="Times New Roman" w:hAnsi="Times New Roman" w:cs="Times New Roman"/>
                <w:sz w:val="24"/>
                <w:szCs w:val="24"/>
              </w:rPr>
            </w:pPr>
          </w:p>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sz w:val="24"/>
                <w:szCs w:val="24"/>
              </w:rPr>
              <w:pict>
                <v:rect id="_x0000_i1926" style="width:0;height:1.5pt" o:hralign="center" o:hrstd="t" o:hr="t" fillcolor="#a0a0a0" stroked="f"/>
              </w:pict>
            </w:r>
          </w:p>
        </w:tc>
      </w:tr>
      <w:tr w:rsidR="00092E0E" w:rsidRPr="00092E0E"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PROGRAM AREA NAME: </w:t>
                  </w:r>
                  <w:r w:rsidRPr="00092E0E">
                    <w:rPr>
                      <w:rFonts w:ascii="Times New Roman" w:eastAsia="Times New Roman" w:hAnsi="Times New Roman" w:cs="Times New Roman"/>
                      <w:sz w:val="20"/>
                      <w:szCs w:val="20"/>
                    </w:rPr>
                    <w:t>2015 Joint Southeastern/Southwest Regional Meeting</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SYMPOSIUM NAME: </w:t>
                  </w:r>
                  <w:r w:rsidRPr="00092E0E">
                    <w:rPr>
                      <w:rFonts w:ascii="Times New Roman" w:eastAsia="Times New Roman" w:hAnsi="Times New Roman" w:cs="Times New Roman"/>
                      <w:sz w:val="20"/>
                      <w:szCs w:val="20"/>
                    </w:rPr>
                    <w:t>General Computational Chemistry - Oral</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CONTROL ID: </w:t>
                  </w:r>
                  <w:r w:rsidRPr="00092E0E">
                    <w:rPr>
                      <w:rFonts w:ascii="Times New Roman" w:eastAsia="Times New Roman" w:hAnsi="Times New Roman" w:cs="Times New Roman"/>
                      <w:sz w:val="20"/>
                      <w:szCs w:val="20"/>
                    </w:rPr>
                    <w:t>2368536</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TITLE: </w:t>
                  </w:r>
                  <w:r w:rsidRPr="00092E0E">
                    <w:rPr>
                      <w:rFonts w:ascii="Times New Roman" w:eastAsia="Times New Roman" w:hAnsi="Times New Roman" w:cs="Times New Roman"/>
                      <w:sz w:val="20"/>
                      <w:szCs w:val="20"/>
                    </w:rPr>
                    <w:t>Electrostatics, Relativistic Effects, and the Bonding in Group 12 Dihalide Clusters</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w:t>
                  </w:r>
                  <w:r w:rsidRPr="00092E0E">
                    <w:rPr>
                      <w:rFonts w:ascii="Times New Roman" w:eastAsia="Times New Roman" w:hAnsi="Times New Roman" w:cs="Times New Roman"/>
                      <w:sz w:val="20"/>
                      <w:szCs w:val="20"/>
                    </w:rPr>
                    <w:t>Kelling Donald</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PRESENTER (E-MAIL ONLY): </w:t>
                  </w:r>
                  <w:r w:rsidRPr="00092E0E">
                    <w:rPr>
                      <w:rFonts w:ascii="Times New Roman" w:eastAsia="Times New Roman" w:hAnsi="Times New Roman" w:cs="Times New Roman"/>
                      <w:sz w:val="20"/>
                      <w:szCs w:val="20"/>
                    </w:rPr>
                    <w:t>kjdonald@gmail.com</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AUTHORS (FIRST NAME, LAST NAME): </w:t>
                  </w:r>
                  <w:r w:rsidRPr="00092E0E">
                    <w:rPr>
                      <w:rFonts w:ascii="Times New Roman" w:eastAsia="Times New Roman" w:hAnsi="Times New Roman" w:cs="Times New Roman"/>
                      <w:sz w:val="20"/>
                      <w:szCs w:val="20"/>
                    </w:rPr>
                    <w:t>Kelling Donald</w:t>
                  </w:r>
                  <w:r w:rsidRPr="00092E0E">
                    <w:rPr>
                      <w:rFonts w:ascii="Times New Roman" w:eastAsia="Times New Roman" w:hAnsi="Times New Roman" w:cs="Times New Roman"/>
                      <w:sz w:val="20"/>
                      <w:szCs w:val="20"/>
                      <w:vertAlign w:val="superscript"/>
                    </w:rPr>
                    <w:t>1</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INSTITUTIONS (ALL): </w:t>
                  </w:r>
                  <w:r w:rsidRPr="00092E0E">
                    <w:rPr>
                      <w:rFonts w:ascii="Times New Roman" w:eastAsia="Times New Roman" w:hAnsi="Times New Roman" w:cs="Times New Roman"/>
                      <w:sz w:val="20"/>
                      <w:szCs w:val="20"/>
                    </w:rPr>
                    <w:t xml:space="preserve">1. University of Richmond, Richmond, VA, United States.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PRESENTATION T</w:t>
                  </w:r>
                  <w:bookmarkStart w:id="0" w:name="_GoBack"/>
                  <w:bookmarkEnd w:id="0"/>
                  <w:r w:rsidRPr="00092E0E">
                    <w:rPr>
                      <w:rFonts w:ascii="Times New Roman" w:eastAsia="Times New Roman" w:hAnsi="Times New Roman" w:cs="Times New Roman"/>
                      <w:b/>
                      <w:bCs/>
                      <w:sz w:val="20"/>
                      <w:szCs w:val="20"/>
                    </w:rPr>
                    <w:t xml:space="preserve">YPE: </w:t>
                  </w:r>
                  <w:r w:rsidRPr="00092E0E">
                    <w:rPr>
                      <w:rFonts w:ascii="Times New Roman" w:eastAsia="Times New Roman" w:hAnsi="Times New Roman" w:cs="Times New Roman"/>
                      <w:sz w:val="20"/>
                      <w:szCs w:val="20"/>
                    </w:rPr>
                    <w:t>Oral Only</w:t>
                  </w:r>
                </w:p>
              </w:tc>
            </w:tr>
            <w:tr w:rsidR="00092E0E" w:rsidRPr="00092E0E" w:rsidTr="00A81E9F">
              <w:trPr>
                <w:tblCellSpacing w:w="15" w:type="dxa"/>
              </w:trPr>
              <w:tc>
                <w:tcPr>
                  <w:tcW w:w="0" w:type="auto"/>
                  <w:vAlign w:val="center"/>
                  <w:hideMark/>
                </w:tcPr>
                <w:p w:rsidR="00092E0E" w:rsidRPr="00092E0E" w:rsidRDefault="00092E0E" w:rsidP="00092E0E">
                  <w:pPr>
                    <w:spacing w:after="24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BODY: </w:t>
                  </w:r>
                  <w:r w:rsidRPr="00092E0E">
                    <w:rPr>
                      <w:rFonts w:ascii="Times New Roman" w:eastAsia="Times New Roman" w:hAnsi="Times New Roman" w:cs="Times New Roman"/>
                      <w:b/>
                      <w:bCs/>
                      <w:sz w:val="20"/>
                      <w:szCs w:val="20"/>
                    </w:rPr>
                    <w:br/>
                    <w:t xml:space="preserve">Abstract: </w:t>
                  </w:r>
                  <w:r w:rsidRPr="00092E0E">
                    <w:rPr>
                      <w:rFonts w:ascii="Times New Roman" w:eastAsia="Times New Roman" w:hAnsi="Times New Roman" w:cs="Times New Roman"/>
                      <w:sz w:val="20"/>
                      <w:szCs w:val="20"/>
                    </w:rPr>
                    <w:t>Abstract: The group 12 dihalides have attracted a significant degree of attention in the chemical literature because of the apparent interplay between shell effects, the d-block and lanthanide contractions and the increasing influence of relativistic effects going down the group from Zn to Hg. The reasons for these observed electronic and structural differences between Hg and Zn and Cd compounds and how those differences can be accurately modelled, understood, and exploited continues to be an area of significant interest. In this talk, we will show how the group 12 dihalide clusters (in contrast with the group 2 dihalides) provide substantial lessons for bonding in inorganic materials, and we will consider how electrostatic interactions overcome a struggle against the structural consequences of relativistic effects in certain metal dihalides, but not others. A competition between relativistic effects and electrostatics is shown to lead, for example, to a radical change in the structural preference in one particular case especially.</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DECISION STATUS: </w:t>
                  </w:r>
                </w:p>
              </w:tc>
            </w:tr>
            <w:tr w:rsidR="00092E0E" w:rsidRPr="00092E0E" w:rsidTr="00A81E9F">
              <w:trPr>
                <w:tblCellSpacing w:w="15" w:type="dxa"/>
              </w:trPr>
              <w:tc>
                <w:tcPr>
                  <w:tcW w:w="0" w:type="auto"/>
                  <w:vAlign w:val="center"/>
                  <w:hideMark/>
                </w:tcPr>
                <w:p w:rsidR="00092E0E" w:rsidRPr="00092E0E" w:rsidRDefault="00092E0E" w:rsidP="00092E0E">
                  <w:pPr>
                    <w:spacing w:after="0" w:line="240" w:lineRule="auto"/>
                    <w:rPr>
                      <w:rFonts w:ascii="Times New Roman" w:eastAsia="Times New Roman" w:hAnsi="Times New Roman" w:cs="Times New Roman"/>
                      <w:sz w:val="24"/>
                      <w:szCs w:val="24"/>
                    </w:rPr>
                  </w:pPr>
                  <w:r w:rsidRPr="00092E0E">
                    <w:rPr>
                      <w:rFonts w:ascii="Times New Roman" w:eastAsia="Times New Roman" w:hAnsi="Times New Roman" w:cs="Times New Roman"/>
                      <w:b/>
                      <w:bCs/>
                      <w:sz w:val="20"/>
                      <w:szCs w:val="20"/>
                    </w:rPr>
                    <w:t xml:space="preserve">ABSTRACT STATUS: </w:t>
                  </w:r>
                  <w:r w:rsidRPr="00092E0E">
                    <w:rPr>
                      <w:rFonts w:ascii="Times New Roman" w:eastAsia="Times New Roman" w:hAnsi="Times New Roman" w:cs="Times New Roman"/>
                      <w:sz w:val="20"/>
                      <w:szCs w:val="20"/>
                    </w:rPr>
                    <w:t>submitted Withdraw</w:t>
                  </w:r>
                </w:p>
              </w:tc>
            </w:tr>
          </w:tbl>
          <w:p w:rsidR="00092E0E" w:rsidRPr="00092E0E" w:rsidRDefault="00092E0E" w:rsidP="00092E0E">
            <w:pPr>
              <w:spacing w:after="0" w:line="240" w:lineRule="auto"/>
              <w:rPr>
                <w:rFonts w:ascii="Times New Roman" w:eastAsia="Times New Roman" w:hAnsi="Times New Roman" w:cs="Times New Roman"/>
                <w:sz w:val="24"/>
                <w:szCs w:val="24"/>
              </w:rPr>
            </w:pPr>
          </w:p>
        </w:tc>
      </w:tr>
    </w:tbl>
    <w:p w:rsidR="0053706A" w:rsidRPr="00EB0695" w:rsidRDefault="0053706A" w:rsidP="00EB0695"/>
    <w:sectPr w:rsidR="0053706A" w:rsidRPr="00EB069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FBA" w:rsidRDefault="00D87FBA" w:rsidP="00D87FBA">
      <w:pPr>
        <w:spacing w:after="0" w:line="240" w:lineRule="auto"/>
      </w:pPr>
      <w:r>
        <w:separator/>
      </w:r>
    </w:p>
  </w:endnote>
  <w:endnote w:type="continuationSeparator" w:id="0">
    <w:p w:rsidR="00D87FBA" w:rsidRDefault="00D87FBA" w:rsidP="00D87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FBA" w:rsidRDefault="00D87FBA" w:rsidP="00D87FBA">
      <w:pPr>
        <w:spacing w:after="0" w:line="240" w:lineRule="auto"/>
      </w:pPr>
      <w:r>
        <w:separator/>
      </w:r>
    </w:p>
  </w:footnote>
  <w:footnote w:type="continuationSeparator" w:id="0">
    <w:p w:rsidR="00D87FBA" w:rsidRDefault="00D87FBA" w:rsidP="00D87F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BA" w:rsidRPr="00D87FBA" w:rsidRDefault="004417DB" w:rsidP="00D87FBA">
    <w:pPr>
      <w:pStyle w:val="Header"/>
      <w:rPr>
        <w:rFonts w:ascii="Times New Roman" w:hAnsi="Times New Roman" w:cs="Times New Roman"/>
        <w:sz w:val="20"/>
      </w:rPr>
    </w:pPr>
    <w:r w:rsidRPr="001F139D">
      <w:rPr>
        <w:rFonts w:ascii="Times New Roman" w:eastAsia="Times New Roman" w:hAnsi="Times New Roman" w:cs="Times New Roman"/>
        <w:sz w:val="20"/>
        <w:szCs w:val="20"/>
      </w:rPr>
      <w:t>2015 Joint Southeastern/Southwest Regional Meeting</w:t>
    </w:r>
    <w:r w:rsidR="00D87FBA" w:rsidRPr="00D87FBA">
      <w:rPr>
        <w:rFonts w:ascii="Times New Roman" w:hAnsi="Times New Roman" w:cs="Times New Roman"/>
        <w:sz w:val="20"/>
      </w:rPr>
      <w:tab/>
    </w:r>
    <w:r w:rsidR="00D87FBA" w:rsidRPr="00D87FBA">
      <w:rPr>
        <w:rFonts w:ascii="Times New Roman" w:hAnsi="Times New Roman" w:cs="Times New Roman"/>
        <w:sz w:val="20"/>
      </w:rPr>
      <w:tab/>
    </w:r>
    <w:r w:rsidR="00EB0695" w:rsidRPr="001F139D">
      <w:rPr>
        <w:rFonts w:ascii="Times New Roman" w:eastAsia="Times New Roman" w:hAnsi="Times New Roman" w:cs="Times New Roman"/>
        <w:sz w:val="20"/>
        <w:szCs w:val="20"/>
      </w:rPr>
      <w:t>General Computational Chemistry - Oral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dirty"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3CF"/>
    <w:rsid w:val="00035A9B"/>
    <w:rsid w:val="0004137C"/>
    <w:rsid w:val="00071B5D"/>
    <w:rsid w:val="00092E0E"/>
    <w:rsid w:val="001050A4"/>
    <w:rsid w:val="001475F6"/>
    <w:rsid w:val="00151D5C"/>
    <w:rsid w:val="001B12EC"/>
    <w:rsid w:val="001B2600"/>
    <w:rsid w:val="001E4FBF"/>
    <w:rsid w:val="0020021A"/>
    <w:rsid w:val="0020086D"/>
    <w:rsid w:val="002216BC"/>
    <w:rsid w:val="00270BD7"/>
    <w:rsid w:val="00277A4C"/>
    <w:rsid w:val="00282B54"/>
    <w:rsid w:val="002840C4"/>
    <w:rsid w:val="002D3191"/>
    <w:rsid w:val="002F0D3D"/>
    <w:rsid w:val="0036674A"/>
    <w:rsid w:val="00381614"/>
    <w:rsid w:val="00383835"/>
    <w:rsid w:val="00383ECA"/>
    <w:rsid w:val="003B00FE"/>
    <w:rsid w:val="003D2048"/>
    <w:rsid w:val="003F0FC6"/>
    <w:rsid w:val="003F4B71"/>
    <w:rsid w:val="003F7525"/>
    <w:rsid w:val="004417DB"/>
    <w:rsid w:val="004503CF"/>
    <w:rsid w:val="00461A63"/>
    <w:rsid w:val="004B407B"/>
    <w:rsid w:val="00512B7D"/>
    <w:rsid w:val="0053706A"/>
    <w:rsid w:val="00556ED6"/>
    <w:rsid w:val="005B1E45"/>
    <w:rsid w:val="0069784B"/>
    <w:rsid w:val="00741B5C"/>
    <w:rsid w:val="007522D0"/>
    <w:rsid w:val="00780D2B"/>
    <w:rsid w:val="00784F32"/>
    <w:rsid w:val="0084043F"/>
    <w:rsid w:val="008746AB"/>
    <w:rsid w:val="008B4358"/>
    <w:rsid w:val="008E65A2"/>
    <w:rsid w:val="00953590"/>
    <w:rsid w:val="009679FC"/>
    <w:rsid w:val="009867B3"/>
    <w:rsid w:val="00A07337"/>
    <w:rsid w:val="00A23226"/>
    <w:rsid w:val="00A60906"/>
    <w:rsid w:val="00A65A68"/>
    <w:rsid w:val="00AD0DB2"/>
    <w:rsid w:val="00AD5753"/>
    <w:rsid w:val="00AD6BE5"/>
    <w:rsid w:val="00C034C4"/>
    <w:rsid w:val="00C507C6"/>
    <w:rsid w:val="00D223FD"/>
    <w:rsid w:val="00D338C9"/>
    <w:rsid w:val="00D87FBA"/>
    <w:rsid w:val="00DA2C33"/>
    <w:rsid w:val="00DB7F1A"/>
    <w:rsid w:val="00DE39D8"/>
    <w:rsid w:val="00E43435"/>
    <w:rsid w:val="00EA74DC"/>
    <w:rsid w:val="00EB0695"/>
    <w:rsid w:val="00ED1023"/>
    <w:rsid w:val="00ED3109"/>
    <w:rsid w:val="00F17093"/>
    <w:rsid w:val="00F70BCC"/>
    <w:rsid w:val="00FC5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 w:type="numbering" w:customStyle="1" w:styleId="NoList16">
    <w:name w:val="No List16"/>
    <w:next w:val="NoList"/>
    <w:uiPriority w:val="99"/>
    <w:semiHidden/>
    <w:unhideWhenUsed/>
    <w:rsid w:val="00DA2C33"/>
  </w:style>
  <w:style w:type="numbering" w:customStyle="1" w:styleId="NoList17">
    <w:name w:val="No List17"/>
    <w:next w:val="NoList"/>
    <w:uiPriority w:val="99"/>
    <w:semiHidden/>
    <w:unhideWhenUsed/>
    <w:rsid w:val="00DA2C33"/>
  </w:style>
  <w:style w:type="numbering" w:customStyle="1" w:styleId="NoList18">
    <w:name w:val="No List18"/>
    <w:next w:val="NoList"/>
    <w:uiPriority w:val="99"/>
    <w:semiHidden/>
    <w:unhideWhenUsed/>
    <w:rsid w:val="00A60906"/>
  </w:style>
  <w:style w:type="numbering" w:customStyle="1" w:styleId="NoList19">
    <w:name w:val="No List19"/>
    <w:next w:val="NoList"/>
    <w:uiPriority w:val="99"/>
    <w:semiHidden/>
    <w:unhideWhenUsed/>
    <w:rsid w:val="00A6090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 w:type="numbering" w:customStyle="1" w:styleId="NoList16">
    <w:name w:val="No List16"/>
    <w:next w:val="NoList"/>
    <w:uiPriority w:val="99"/>
    <w:semiHidden/>
    <w:unhideWhenUsed/>
    <w:rsid w:val="00DA2C33"/>
  </w:style>
  <w:style w:type="numbering" w:customStyle="1" w:styleId="NoList17">
    <w:name w:val="No List17"/>
    <w:next w:val="NoList"/>
    <w:uiPriority w:val="99"/>
    <w:semiHidden/>
    <w:unhideWhenUsed/>
    <w:rsid w:val="00DA2C33"/>
  </w:style>
  <w:style w:type="numbering" w:customStyle="1" w:styleId="NoList18">
    <w:name w:val="No List18"/>
    <w:next w:val="NoList"/>
    <w:uiPriority w:val="99"/>
    <w:semiHidden/>
    <w:unhideWhenUsed/>
    <w:rsid w:val="00A60906"/>
  </w:style>
  <w:style w:type="numbering" w:customStyle="1" w:styleId="NoList19">
    <w:name w:val="No List19"/>
    <w:next w:val="NoList"/>
    <w:uiPriority w:val="99"/>
    <w:semiHidden/>
    <w:unhideWhenUsed/>
    <w:rsid w:val="00A60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51259">
      <w:bodyDiv w:val="1"/>
      <w:marLeft w:val="0"/>
      <w:marRight w:val="0"/>
      <w:marTop w:val="0"/>
      <w:marBottom w:val="0"/>
      <w:divBdr>
        <w:top w:val="none" w:sz="0" w:space="0" w:color="auto"/>
        <w:left w:val="none" w:sz="0" w:space="0" w:color="auto"/>
        <w:bottom w:val="none" w:sz="0" w:space="0" w:color="auto"/>
        <w:right w:val="none" w:sz="0" w:space="0" w:color="auto"/>
      </w:divBdr>
    </w:div>
    <w:div w:id="72047439">
      <w:bodyDiv w:val="1"/>
      <w:marLeft w:val="0"/>
      <w:marRight w:val="0"/>
      <w:marTop w:val="0"/>
      <w:marBottom w:val="0"/>
      <w:divBdr>
        <w:top w:val="none" w:sz="0" w:space="0" w:color="auto"/>
        <w:left w:val="none" w:sz="0" w:space="0" w:color="auto"/>
        <w:bottom w:val="none" w:sz="0" w:space="0" w:color="auto"/>
        <w:right w:val="none" w:sz="0" w:space="0" w:color="auto"/>
      </w:divBdr>
    </w:div>
    <w:div w:id="221796799">
      <w:bodyDiv w:val="1"/>
      <w:marLeft w:val="0"/>
      <w:marRight w:val="0"/>
      <w:marTop w:val="0"/>
      <w:marBottom w:val="0"/>
      <w:divBdr>
        <w:top w:val="none" w:sz="0" w:space="0" w:color="auto"/>
        <w:left w:val="none" w:sz="0" w:space="0" w:color="auto"/>
        <w:bottom w:val="none" w:sz="0" w:space="0" w:color="auto"/>
        <w:right w:val="none" w:sz="0" w:space="0" w:color="auto"/>
      </w:divBdr>
    </w:div>
    <w:div w:id="294022731">
      <w:bodyDiv w:val="1"/>
      <w:marLeft w:val="0"/>
      <w:marRight w:val="0"/>
      <w:marTop w:val="0"/>
      <w:marBottom w:val="0"/>
      <w:divBdr>
        <w:top w:val="none" w:sz="0" w:space="0" w:color="auto"/>
        <w:left w:val="none" w:sz="0" w:space="0" w:color="auto"/>
        <w:bottom w:val="none" w:sz="0" w:space="0" w:color="auto"/>
        <w:right w:val="none" w:sz="0" w:space="0" w:color="auto"/>
      </w:divBdr>
    </w:div>
    <w:div w:id="342362304">
      <w:bodyDiv w:val="1"/>
      <w:marLeft w:val="0"/>
      <w:marRight w:val="0"/>
      <w:marTop w:val="0"/>
      <w:marBottom w:val="0"/>
      <w:divBdr>
        <w:top w:val="none" w:sz="0" w:space="0" w:color="auto"/>
        <w:left w:val="none" w:sz="0" w:space="0" w:color="auto"/>
        <w:bottom w:val="none" w:sz="0" w:space="0" w:color="auto"/>
        <w:right w:val="none" w:sz="0" w:space="0" w:color="auto"/>
      </w:divBdr>
    </w:div>
    <w:div w:id="379326885">
      <w:bodyDiv w:val="1"/>
      <w:marLeft w:val="0"/>
      <w:marRight w:val="0"/>
      <w:marTop w:val="0"/>
      <w:marBottom w:val="0"/>
      <w:divBdr>
        <w:top w:val="none" w:sz="0" w:space="0" w:color="auto"/>
        <w:left w:val="none" w:sz="0" w:space="0" w:color="auto"/>
        <w:bottom w:val="none" w:sz="0" w:space="0" w:color="auto"/>
        <w:right w:val="none" w:sz="0" w:space="0" w:color="auto"/>
      </w:divBdr>
    </w:div>
    <w:div w:id="390425653">
      <w:bodyDiv w:val="1"/>
      <w:marLeft w:val="0"/>
      <w:marRight w:val="0"/>
      <w:marTop w:val="0"/>
      <w:marBottom w:val="0"/>
      <w:divBdr>
        <w:top w:val="none" w:sz="0" w:space="0" w:color="auto"/>
        <w:left w:val="none" w:sz="0" w:space="0" w:color="auto"/>
        <w:bottom w:val="none" w:sz="0" w:space="0" w:color="auto"/>
        <w:right w:val="none" w:sz="0" w:space="0" w:color="auto"/>
      </w:divBdr>
    </w:div>
    <w:div w:id="465976943">
      <w:bodyDiv w:val="1"/>
      <w:marLeft w:val="0"/>
      <w:marRight w:val="0"/>
      <w:marTop w:val="0"/>
      <w:marBottom w:val="0"/>
      <w:divBdr>
        <w:top w:val="none" w:sz="0" w:space="0" w:color="auto"/>
        <w:left w:val="none" w:sz="0" w:space="0" w:color="auto"/>
        <w:bottom w:val="none" w:sz="0" w:space="0" w:color="auto"/>
        <w:right w:val="none" w:sz="0" w:space="0" w:color="auto"/>
      </w:divBdr>
    </w:div>
    <w:div w:id="812254224">
      <w:bodyDiv w:val="1"/>
      <w:marLeft w:val="0"/>
      <w:marRight w:val="0"/>
      <w:marTop w:val="0"/>
      <w:marBottom w:val="0"/>
      <w:divBdr>
        <w:top w:val="none" w:sz="0" w:space="0" w:color="auto"/>
        <w:left w:val="none" w:sz="0" w:space="0" w:color="auto"/>
        <w:bottom w:val="none" w:sz="0" w:space="0" w:color="auto"/>
        <w:right w:val="none" w:sz="0" w:space="0" w:color="auto"/>
      </w:divBdr>
    </w:div>
    <w:div w:id="833187530">
      <w:bodyDiv w:val="1"/>
      <w:marLeft w:val="0"/>
      <w:marRight w:val="0"/>
      <w:marTop w:val="0"/>
      <w:marBottom w:val="0"/>
      <w:divBdr>
        <w:top w:val="none" w:sz="0" w:space="0" w:color="auto"/>
        <w:left w:val="none" w:sz="0" w:space="0" w:color="auto"/>
        <w:bottom w:val="none" w:sz="0" w:space="0" w:color="auto"/>
        <w:right w:val="none" w:sz="0" w:space="0" w:color="auto"/>
      </w:divBdr>
    </w:div>
    <w:div w:id="1140541030">
      <w:bodyDiv w:val="1"/>
      <w:marLeft w:val="0"/>
      <w:marRight w:val="0"/>
      <w:marTop w:val="0"/>
      <w:marBottom w:val="0"/>
      <w:divBdr>
        <w:top w:val="none" w:sz="0" w:space="0" w:color="auto"/>
        <w:left w:val="none" w:sz="0" w:space="0" w:color="auto"/>
        <w:bottom w:val="none" w:sz="0" w:space="0" w:color="auto"/>
        <w:right w:val="none" w:sz="0" w:space="0" w:color="auto"/>
      </w:divBdr>
    </w:div>
    <w:div w:id="1168207451">
      <w:bodyDiv w:val="1"/>
      <w:marLeft w:val="0"/>
      <w:marRight w:val="0"/>
      <w:marTop w:val="0"/>
      <w:marBottom w:val="0"/>
      <w:divBdr>
        <w:top w:val="none" w:sz="0" w:space="0" w:color="auto"/>
        <w:left w:val="none" w:sz="0" w:space="0" w:color="auto"/>
        <w:bottom w:val="none" w:sz="0" w:space="0" w:color="auto"/>
        <w:right w:val="none" w:sz="0" w:space="0" w:color="auto"/>
      </w:divBdr>
    </w:div>
    <w:div w:id="1223905244">
      <w:bodyDiv w:val="1"/>
      <w:marLeft w:val="0"/>
      <w:marRight w:val="0"/>
      <w:marTop w:val="0"/>
      <w:marBottom w:val="0"/>
      <w:divBdr>
        <w:top w:val="none" w:sz="0" w:space="0" w:color="auto"/>
        <w:left w:val="none" w:sz="0" w:space="0" w:color="auto"/>
        <w:bottom w:val="none" w:sz="0" w:space="0" w:color="auto"/>
        <w:right w:val="none" w:sz="0" w:space="0" w:color="auto"/>
      </w:divBdr>
    </w:div>
    <w:div w:id="1307080497">
      <w:bodyDiv w:val="1"/>
      <w:marLeft w:val="0"/>
      <w:marRight w:val="0"/>
      <w:marTop w:val="0"/>
      <w:marBottom w:val="0"/>
      <w:divBdr>
        <w:top w:val="none" w:sz="0" w:space="0" w:color="auto"/>
        <w:left w:val="none" w:sz="0" w:space="0" w:color="auto"/>
        <w:bottom w:val="none" w:sz="0" w:space="0" w:color="auto"/>
        <w:right w:val="none" w:sz="0" w:space="0" w:color="auto"/>
      </w:divBdr>
    </w:div>
    <w:div w:id="1476097889">
      <w:bodyDiv w:val="1"/>
      <w:marLeft w:val="0"/>
      <w:marRight w:val="0"/>
      <w:marTop w:val="0"/>
      <w:marBottom w:val="0"/>
      <w:divBdr>
        <w:top w:val="none" w:sz="0" w:space="0" w:color="auto"/>
        <w:left w:val="none" w:sz="0" w:space="0" w:color="auto"/>
        <w:bottom w:val="none" w:sz="0" w:space="0" w:color="auto"/>
        <w:right w:val="none" w:sz="0" w:space="0" w:color="auto"/>
      </w:divBdr>
    </w:div>
    <w:div w:id="1490973908">
      <w:bodyDiv w:val="1"/>
      <w:marLeft w:val="0"/>
      <w:marRight w:val="0"/>
      <w:marTop w:val="0"/>
      <w:marBottom w:val="0"/>
      <w:divBdr>
        <w:top w:val="none" w:sz="0" w:space="0" w:color="auto"/>
        <w:left w:val="none" w:sz="0" w:space="0" w:color="auto"/>
        <w:bottom w:val="none" w:sz="0" w:space="0" w:color="auto"/>
        <w:right w:val="none" w:sz="0" w:space="0" w:color="auto"/>
      </w:divBdr>
    </w:div>
    <w:div w:id="1498114248">
      <w:bodyDiv w:val="1"/>
      <w:marLeft w:val="0"/>
      <w:marRight w:val="0"/>
      <w:marTop w:val="0"/>
      <w:marBottom w:val="0"/>
      <w:divBdr>
        <w:top w:val="none" w:sz="0" w:space="0" w:color="auto"/>
        <w:left w:val="none" w:sz="0" w:space="0" w:color="auto"/>
        <w:bottom w:val="none" w:sz="0" w:space="0" w:color="auto"/>
        <w:right w:val="none" w:sz="0" w:space="0" w:color="auto"/>
      </w:divBdr>
    </w:div>
    <w:div w:id="1701661396">
      <w:bodyDiv w:val="1"/>
      <w:marLeft w:val="0"/>
      <w:marRight w:val="0"/>
      <w:marTop w:val="0"/>
      <w:marBottom w:val="0"/>
      <w:divBdr>
        <w:top w:val="none" w:sz="0" w:space="0" w:color="auto"/>
        <w:left w:val="none" w:sz="0" w:space="0" w:color="auto"/>
        <w:bottom w:val="none" w:sz="0" w:space="0" w:color="auto"/>
        <w:right w:val="none" w:sz="0" w:space="0" w:color="auto"/>
      </w:divBdr>
    </w:div>
    <w:div w:id="1894153675">
      <w:bodyDiv w:val="1"/>
      <w:marLeft w:val="0"/>
      <w:marRight w:val="0"/>
      <w:marTop w:val="0"/>
      <w:marBottom w:val="0"/>
      <w:divBdr>
        <w:top w:val="none" w:sz="0" w:space="0" w:color="auto"/>
        <w:left w:val="none" w:sz="0" w:space="0" w:color="auto"/>
        <w:bottom w:val="none" w:sz="0" w:space="0" w:color="auto"/>
        <w:right w:val="none" w:sz="0" w:space="0" w:color="auto"/>
      </w:divBdr>
    </w:div>
    <w:div w:id="1977295369">
      <w:bodyDiv w:val="1"/>
      <w:marLeft w:val="0"/>
      <w:marRight w:val="0"/>
      <w:marTop w:val="0"/>
      <w:marBottom w:val="0"/>
      <w:divBdr>
        <w:top w:val="none" w:sz="0" w:space="0" w:color="auto"/>
        <w:left w:val="none" w:sz="0" w:space="0" w:color="auto"/>
        <w:bottom w:val="none" w:sz="0" w:space="0" w:color="auto"/>
        <w:right w:val="none" w:sz="0" w:space="0" w:color="auto"/>
      </w:divBdr>
    </w:div>
    <w:div w:id="2031225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6455</Words>
  <Characters>36796</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43165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Robin Green</dc:creator>
  <cp:lastModifiedBy>Robin Green</cp:lastModifiedBy>
  <cp:revision>3</cp:revision>
  <dcterms:created xsi:type="dcterms:W3CDTF">2015-09-02T21:04:00Z</dcterms:created>
  <dcterms:modified xsi:type="dcterms:W3CDTF">2015-09-02T21:05:00Z</dcterms:modified>
</cp:coreProperties>
</file>