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contextualSpacing w:val="0"/>
        <w:rPr/>
      </w:pPr>
      <w:r w:rsidDel="00000000" w:rsidR="00000000" w:rsidRPr="00000000">
        <w:rPr>
          <w:u w:val="single"/>
          <w:rtl w:val="0"/>
        </w:rPr>
        <w:t xml:space="preserve">Proposal</w:t>
      </w:r>
      <w:r w:rsidDel="00000000" w:rsidR="00000000" w:rsidRPr="00000000">
        <w:rPr>
          <w:rtl w:val="0"/>
        </w:rPr>
        <w:t xml:space="preserve">: The Atlantic Regional Science Cafe Series</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u w:val="single"/>
          <w:rtl w:val="0"/>
        </w:rPr>
        <w:t xml:space="preserve">Background &amp; Motivation</w:t>
      </w:r>
      <w:r w:rsidDel="00000000" w:rsidR="00000000" w:rsidRPr="00000000">
        <w:rPr>
          <w:rtl w:val="0"/>
        </w:rPr>
        <w:t xml:space="preserve">:</w:t>
      </w:r>
    </w:p>
    <w:p w:rsidR="00000000" w:rsidDel="00000000" w:rsidP="00000000" w:rsidRDefault="00000000" w:rsidRPr="00000000">
      <w:pPr>
        <w:contextualSpacing w:val="0"/>
        <w:rPr/>
      </w:pPr>
      <w:r w:rsidDel="00000000" w:rsidR="00000000" w:rsidRPr="00000000">
        <w:rPr>
          <w:rtl w:val="0"/>
        </w:rPr>
        <w:t xml:space="preserve">At the 2018 ACS Leadership Institute, the upcoming leadership of seven local sections in the Atlantic Region sat and discussed the possibility of organizing a joint event or event series to engage members across all the sections. After discussion, it became clear that virtual participation would be critical to the success of such an event, and ultimately, it was determined that a series of science cafes would be an ideal place to start a more region-wide engagement strategy.</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To that end, we intend to host the first Atlantic Regional Science Cafe Series, a joint virtual science cafe series that will engage from North Carolina all the way up to Maryland. All told, this project has the potential to impact over 10,000 ACS members across the sections, providing more programming and a deeper connection to all of the local sections, as well as sharing resources to mutual benefit across the region.</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u w:val="single"/>
          <w:rtl w:val="0"/>
        </w:rPr>
        <w:t xml:space="preserve">Description of Event/Commitment</w:t>
      </w:r>
      <w:r w:rsidDel="00000000" w:rsidR="00000000" w:rsidRPr="00000000">
        <w:rPr>
          <w:rtl w:val="0"/>
        </w:rPr>
        <w:t xml:space="preserve">:</w:t>
      </w:r>
    </w:p>
    <w:p w:rsidR="00000000" w:rsidDel="00000000" w:rsidP="00000000" w:rsidRDefault="00000000" w:rsidRPr="00000000">
      <w:pPr>
        <w:contextualSpacing w:val="0"/>
        <w:rPr>
          <w:i w:val="1"/>
        </w:rPr>
      </w:pPr>
      <w:r w:rsidDel="00000000" w:rsidR="00000000" w:rsidRPr="00000000">
        <w:rPr>
          <w:i w:val="1"/>
          <w:rtl w:val="0"/>
        </w:rPr>
        <w:t xml:space="preserve">Summary:</w:t>
      </w:r>
    </w:p>
    <w:p w:rsidR="00000000" w:rsidDel="00000000" w:rsidP="00000000" w:rsidRDefault="00000000" w:rsidRPr="00000000">
      <w:pPr>
        <w:numPr>
          <w:ilvl w:val="0"/>
          <w:numId w:val="2"/>
        </w:numPr>
        <w:ind w:left="720" w:hanging="360"/>
        <w:contextualSpacing w:val="1"/>
        <w:rPr>
          <w:u w:val="none"/>
        </w:rPr>
      </w:pPr>
      <w:r w:rsidDel="00000000" w:rsidR="00000000" w:rsidRPr="00000000">
        <w:rPr>
          <w:rtl w:val="0"/>
        </w:rPr>
        <w:t xml:space="preserve">Host (at least) one science cafe as a section in 2018.</w:t>
      </w:r>
    </w:p>
    <w:p w:rsidR="00000000" w:rsidDel="00000000" w:rsidP="00000000" w:rsidRDefault="00000000" w:rsidRPr="00000000">
      <w:pPr>
        <w:numPr>
          <w:ilvl w:val="0"/>
          <w:numId w:val="2"/>
        </w:numPr>
        <w:ind w:left="720" w:hanging="360"/>
        <w:contextualSpacing w:val="1"/>
        <w:rPr>
          <w:u w:val="none"/>
        </w:rPr>
      </w:pPr>
      <w:r w:rsidDel="00000000" w:rsidR="00000000" w:rsidRPr="00000000">
        <w:rPr>
          <w:rtl w:val="0"/>
        </w:rPr>
        <w:t xml:space="preserve">Host one regional science cafe hub in 2019.</w:t>
      </w:r>
    </w:p>
    <w:p w:rsidR="00000000" w:rsidDel="00000000" w:rsidP="00000000" w:rsidRDefault="00000000" w:rsidRPr="00000000">
      <w:pPr>
        <w:numPr>
          <w:ilvl w:val="0"/>
          <w:numId w:val="2"/>
        </w:numPr>
        <w:ind w:left="720" w:hanging="360"/>
        <w:contextualSpacing w:val="1"/>
        <w:rPr>
          <w:u w:val="none"/>
        </w:rPr>
      </w:pPr>
      <w:r w:rsidDel="00000000" w:rsidR="00000000" w:rsidRPr="00000000">
        <w:rPr>
          <w:rtl w:val="0"/>
        </w:rPr>
        <w:t xml:space="preserve">Host 6 regional science cafe satellite locations in 2019 (one per other participating local section).</w:t>
      </w:r>
    </w:p>
    <w:p w:rsidR="00000000" w:rsidDel="00000000" w:rsidP="00000000" w:rsidRDefault="00000000" w:rsidRPr="00000000">
      <w:pPr>
        <w:numPr>
          <w:ilvl w:val="0"/>
          <w:numId w:val="2"/>
        </w:numPr>
        <w:ind w:left="720" w:hanging="360"/>
        <w:contextualSpacing w:val="1"/>
        <w:rPr>
          <w:u w:val="none"/>
        </w:rPr>
      </w:pPr>
      <w:r w:rsidDel="00000000" w:rsidR="00000000" w:rsidRPr="00000000">
        <w:rPr>
          <w:rtl w:val="0"/>
        </w:rPr>
        <w:t xml:space="preserve">Amplify and advertise the project to drive attendance and participation.</w:t>
      </w:r>
    </w:p>
    <w:p w:rsidR="00000000" w:rsidDel="00000000" w:rsidP="00000000" w:rsidRDefault="00000000" w:rsidRPr="00000000">
      <w:pPr>
        <w:contextualSpacing w:val="0"/>
        <w:rPr>
          <w:i w:val="1"/>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In 2018 each participating local section commits to holding at least one (1) science cafe (more are welcome) in your local area. This can be on any topic at the local section’s discretion. The purpose of this is to ensure that each local section has hosted at least one cafe in advance of the series, and is familiar with the all the logistical components required to host a cafe.</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Beginning in January 2019, all local sections will host a monthly science cafe series. One section’s cafe will function as a ‘hub,’ hosting the main speaker and facilitating the questions and discussion flowing from each location. All other sections will function as ‘satellite’ locations, providing projection capability of the main speaker in their local location, as well as facilitating questions sent in to the main hub. Each month’s topic will be determined by the hosting local section. The hub location will be responsible for managing questions and comments from all local sections, facilitating a conversation both at each of the locations as well as a region-wide virtual conversation with the main speaker.</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i w:val="1"/>
        </w:rPr>
      </w:pPr>
      <w:r w:rsidDel="00000000" w:rsidR="00000000" w:rsidRPr="00000000">
        <w:rPr>
          <w:i w:val="1"/>
          <w:rtl w:val="0"/>
        </w:rPr>
        <w:t xml:space="preserve">Theme</w:t>
      </w:r>
    </w:p>
    <w:p w:rsidR="00000000" w:rsidDel="00000000" w:rsidP="00000000" w:rsidRDefault="00000000" w:rsidRPr="00000000">
      <w:pPr>
        <w:contextualSpacing w:val="0"/>
        <w:rPr/>
      </w:pPr>
      <w:r w:rsidDel="00000000" w:rsidR="00000000" w:rsidRPr="00000000">
        <w:rPr>
          <w:rtl w:val="0"/>
        </w:rPr>
        <w:t xml:space="preserve">In order to tie together the individual cafes into a series, a single overarching theme will be choses. The themes currently under consideration are:</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Energy</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Water</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i w:val="1"/>
        </w:rPr>
      </w:pPr>
      <w:r w:rsidDel="00000000" w:rsidR="00000000" w:rsidRPr="00000000">
        <w:rPr>
          <w:i w:val="1"/>
          <w:rtl w:val="0"/>
        </w:rPr>
        <w:t xml:space="preserve">Equipment Needs</w:t>
      </w:r>
    </w:p>
    <w:p w:rsidR="00000000" w:rsidDel="00000000" w:rsidP="00000000" w:rsidRDefault="00000000" w:rsidRPr="00000000">
      <w:pPr>
        <w:contextualSpacing w:val="0"/>
        <w:rPr/>
      </w:pPr>
      <w:r w:rsidDel="00000000" w:rsidR="00000000" w:rsidRPr="00000000">
        <w:rPr>
          <w:rtl w:val="0"/>
        </w:rPr>
        <w:t xml:space="preserve">To facilitate such an event virtually, each local section will need to have a package of technology and equipment to host a satellite. This will include at least one microphone, a camera, a laptop computer, and relevant software. Participating sections will be submitting several grant requests to various committees to identify ways to fund purchase of this equipment.</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i w:val="1"/>
        </w:rPr>
      </w:pPr>
      <w:r w:rsidDel="00000000" w:rsidR="00000000" w:rsidRPr="00000000">
        <w:rPr>
          <w:i w:val="1"/>
          <w:rtl w:val="0"/>
        </w:rPr>
        <w:t xml:space="preserve">Publicity</w:t>
      </w:r>
    </w:p>
    <w:p w:rsidR="00000000" w:rsidDel="00000000" w:rsidP="00000000" w:rsidRDefault="00000000" w:rsidRPr="00000000">
      <w:pPr>
        <w:contextualSpacing w:val="0"/>
        <w:rPr/>
      </w:pPr>
      <w:r w:rsidDel="00000000" w:rsidR="00000000" w:rsidRPr="00000000">
        <w:rPr>
          <w:rtl w:val="0"/>
        </w:rPr>
        <w:t xml:space="preserve">By November 2018, each local section will have identified a topic and guest speaker for their local cafe. The list of events throughout 2019 will be released and publicized at the beginning of 2019 throughout all participating local sections. All local sections will be responsible for driving awareness and participation in their local areas. Sections are encouraged to send email blasts and leveral social media as much as possible to drive interest and participation.</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u w:val="single"/>
          <w:rtl w:val="0"/>
        </w:rPr>
        <w:t xml:space="preserve">Participating Sections</w:t>
      </w:r>
      <w:r w:rsidDel="00000000" w:rsidR="00000000" w:rsidRPr="00000000">
        <w:rPr>
          <w:rtl w:val="0"/>
        </w:rPr>
        <w:t xml:space="preserve">:</w:t>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1"/>
              </w:rPr>
            </w:pPr>
            <w:r w:rsidDel="00000000" w:rsidR="00000000" w:rsidRPr="00000000">
              <w:rPr>
                <w:i w:val="1"/>
                <w:rtl w:val="0"/>
              </w:rPr>
              <w:t xml:space="preserve">Local Section</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1"/>
              </w:rPr>
            </w:pPr>
            <w:r w:rsidDel="00000000" w:rsidR="00000000" w:rsidRPr="00000000">
              <w:rPr>
                <w:i w:val="1"/>
                <w:rtl w:val="0"/>
              </w:rPr>
              <w:t xml:space="preserve">POC</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Carolina-Piedmont</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Heather Clontz</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Central North Carolina</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Gail Webster, Margaret Kampres, Stacy Hutchson</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Chemical Society of Washington</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Chris Avery</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Eastern North Carolina</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Chris Halkides</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Hampton Roads</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Peter Njoki</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Maryland</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Kelly Elkins</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North Carolina</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Jay Gehlhausen</w:t>
            </w:r>
          </w:p>
        </w:tc>
      </w:tr>
    </w:tbl>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u w:val="single"/>
          <w:rtl w:val="0"/>
        </w:rPr>
        <w:t xml:space="preserve">Funding Sources</w:t>
      </w:r>
      <w:r w:rsidDel="00000000" w:rsidR="00000000" w:rsidRPr="00000000">
        <w:rPr>
          <w:rtl w:val="0"/>
        </w:rPr>
        <w:t xml:space="preserve">:</w:t>
      </w:r>
    </w:p>
    <w:p w:rsidR="00000000" w:rsidDel="00000000" w:rsidP="00000000" w:rsidRDefault="00000000" w:rsidRPr="00000000">
      <w:pPr>
        <w:numPr>
          <w:ilvl w:val="0"/>
          <w:numId w:val="3"/>
        </w:numPr>
        <w:ind w:left="720" w:hanging="360"/>
        <w:contextualSpacing w:val="1"/>
        <w:rPr>
          <w:u w:val="none"/>
        </w:rPr>
      </w:pPr>
      <w:hyperlink r:id="rId6">
        <w:r w:rsidDel="00000000" w:rsidR="00000000" w:rsidRPr="00000000">
          <w:rPr>
            <w:color w:val="1155cc"/>
            <w:u w:val="single"/>
            <w:rtl w:val="0"/>
          </w:rPr>
          <w:t xml:space="preserve">Committee on Environmental Improvement</w:t>
        </w:r>
      </w:hyperlink>
      <w:r w:rsidDel="00000000" w:rsidR="00000000" w:rsidRPr="00000000">
        <w:rPr>
          <w:rtl w:val="0"/>
        </w:rPr>
        <w:t xml:space="preserve"> (CEI): CEI has expressed an interest in supporting the Series financially if the overarching theme matches up with themes they are working within. Discussions are ongoing.</w:t>
      </w:r>
    </w:p>
    <w:p w:rsidR="00000000" w:rsidDel="00000000" w:rsidP="00000000" w:rsidRDefault="00000000" w:rsidRPr="00000000">
      <w:pPr>
        <w:numPr>
          <w:ilvl w:val="0"/>
          <w:numId w:val="3"/>
        </w:numPr>
        <w:ind w:left="720" w:hanging="360"/>
        <w:contextualSpacing w:val="1"/>
        <w:rPr>
          <w:u w:val="none"/>
        </w:rPr>
      </w:pPr>
      <w:hyperlink r:id="rId7">
        <w:r w:rsidDel="00000000" w:rsidR="00000000" w:rsidRPr="00000000">
          <w:rPr>
            <w:color w:val="1155cc"/>
            <w:u w:val="single"/>
            <w:rtl w:val="0"/>
          </w:rPr>
          <w:t xml:space="preserve">Science Cafe</w:t>
        </w:r>
      </w:hyperlink>
      <w:r w:rsidDel="00000000" w:rsidR="00000000" w:rsidRPr="00000000">
        <w:rPr>
          <w:rtl w:val="0"/>
        </w:rPr>
        <w:t xml:space="preserve"> mini-grant: LSAC provides up to $500 to host a cafe. </w:t>
      </w:r>
    </w:p>
    <w:p w:rsidR="00000000" w:rsidDel="00000000" w:rsidP="00000000" w:rsidRDefault="00000000" w:rsidRPr="00000000">
      <w:pPr>
        <w:numPr>
          <w:ilvl w:val="1"/>
          <w:numId w:val="3"/>
        </w:numPr>
        <w:ind w:left="1440" w:hanging="360"/>
        <w:contextualSpacing w:val="1"/>
        <w:rPr>
          <w:i w:val="1"/>
          <w:u w:val="none"/>
        </w:rPr>
      </w:pPr>
      <w:r w:rsidDel="00000000" w:rsidR="00000000" w:rsidRPr="00000000">
        <w:rPr>
          <w:i w:val="1"/>
          <w:rtl w:val="0"/>
        </w:rPr>
        <w:t xml:space="preserve">Deadline: May 2018</w:t>
      </w:r>
      <w:r w:rsidDel="00000000" w:rsidR="00000000" w:rsidRPr="00000000">
        <w:rPr>
          <w:rtl w:val="0"/>
        </w:rPr>
      </w:r>
    </w:p>
    <w:p w:rsidR="00000000" w:rsidDel="00000000" w:rsidP="00000000" w:rsidRDefault="00000000" w:rsidRPr="00000000">
      <w:pPr>
        <w:numPr>
          <w:ilvl w:val="0"/>
          <w:numId w:val="3"/>
        </w:numPr>
        <w:ind w:left="720" w:hanging="360"/>
        <w:contextualSpacing w:val="1"/>
        <w:rPr>
          <w:u w:val="none"/>
        </w:rPr>
      </w:pPr>
      <w:hyperlink r:id="rId8">
        <w:r w:rsidDel="00000000" w:rsidR="00000000" w:rsidRPr="00000000">
          <w:rPr>
            <w:color w:val="1155cc"/>
            <w:u w:val="single"/>
            <w:rtl w:val="0"/>
          </w:rPr>
          <w:t xml:space="preserve">Innovative Project Grant</w:t>
        </w:r>
      </w:hyperlink>
      <w:r w:rsidDel="00000000" w:rsidR="00000000" w:rsidRPr="00000000">
        <w:rPr>
          <w:rtl w:val="0"/>
        </w:rPr>
        <w:t xml:space="preserve"> (IPG): IPGs could potentially provide for up to $3,500 to host innovative projects. A single section will have to apply on behalf of the others. We will coordinate the application process as we get closer to the deadline.</w:t>
      </w:r>
    </w:p>
    <w:p w:rsidR="00000000" w:rsidDel="00000000" w:rsidP="00000000" w:rsidRDefault="00000000" w:rsidRPr="00000000">
      <w:pPr>
        <w:numPr>
          <w:ilvl w:val="1"/>
          <w:numId w:val="3"/>
        </w:numPr>
        <w:ind w:left="1440" w:hanging="360"/>
        <w:contextualSpacing w:val="1"/>
        <w:rPr>
          <w:i w:val="1"/>
          <w:u w:val="none"/>
        </w:rPr>
      </w:pPr>
      <w:r w:rsidDel="00000000" w:rsidR="00000000" w:rsidRPr="00000000">
        <w:rPr>
          <w:i w:val="1"/>
          <w:rtl w:val="0"/>
        </w:rPr>
        <w:t xml:space="preserve">Deadline: June 2018</w:t>
      </w:r>
      <w:r w:rsidDel="00000000" w:rsidR="00000000" w:rsidRPr="00000000">
        <w:rPr>
          <w:rtl w:val="0"/>
        </w:rPr>
      </w:r>
    </w:p>
    <w:p w:rsidR="00000000" w:rsidDel="00000000" w:rsidP="00000000" w:rsidRDefault="00000000" w:rsidRPr="00000000">
      <w:pPr>
        <w:numPr>
          <w:ilvl w:val="0"/>
          <w:numId w:val="3"/>
        </w:numPr>
        <w:ind w:left="720" w:hanging="360"/>
        <w:contextualSpacing w:val="1"/>
        <w:rPr>
          <w:u w:val="none"/>
        </w:rPr>
      </w:pPr>
      <w:hyperlink r:id="rId9">
        <w:r w:rsidDel="00000000" w:rsidR="00000000" w:rsidRPr="00000000">
          <w:rPr>
            <w:color w:val="1155cc"/>
            <w:u w:val="single"/>
            <w:rtl w:val="0"/>
          </w:rPr>
          <w:t xml:space="preserve">Members Engaging Through Technology</w:t>
        </w:r>
      </w:hyperlink>
      <w:r w:rsidDel="00000000" w:rsidR="00000000" w:rsidRPr="00000000">
        <w:rPr>
          <w:rtl w:val="0"/>
        </w:rPr>
        <w:t xml:space="preserve"> (METT) grant: The METT provides up to $2,000 to help sections obtain technology to support things like cameras and microphones. We will coordinate the application process as we get closer to the deadline.</w:t>
      </w:r>
    </w:p>
    <w:p w:rsidR="00000000" w:rsidDel="00000000" w:rsidP="00000000" w:rsidRDefault="00000000" w:rsidRPr="00000000">
      <w:pPr>
        <w:numPr>
          <w:ilvl w:val="1"/>
          <w:numId w:val="3"/>
        </w:numPr>
        <w:ind w:left="1440" w:hanging="360"/>
        <w:contextualSpacing w:val="1"/>
        <w:rPr>
          <w:i w:val="1"/>
          <w:u w:val="none"/>
        </w:rPr>
      </w:pPr>
      <w:r w:rsidDel="00000000" w:rsidR="00000000" w:rsidRPr="00000000">
        <w:rPr>
          <w:i w:val="1"/>
          <w:rtl w:val="0"/>
        </w:rPr>
        <w:t xml:space="preserve">Deadline: October 2018</w:t>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en"/>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acs.org/content/acs/en/funding-and-awards/grants/acscommunity/local-section-mett.html" TargetMode="External"/><Relationship Id="rId5" Type="http://schemas.openxmlformats.org/officeDocument/2006/relationships/styles" Target="styles.xml"/><Relationship Id="rId6" Type="http://schemas.openxmlformats.org/officeDocument/2006/relationships/hyperlink" Target="https://www.acs.org/content/acs/en/about/governance/committees/cei.html" TargetMode="External"/><Relationship Id="rId7" Type="http://schemas.openxmlformats.org/officeDocument/2006/relationships/hyperlink" Target="https://www.acs.org/content/acs/en/membership-and-networks/ls/programming/science-cafes.html?_ga=2.51103329.918379677.1517014609-119073431.1492364189" TargetMode="External"/><Relationship Id="rId8" Type="http://schemas.openxmlformats.org/officeDocument/2006/relationships/hyperlink" Target="https://www.acs.org/content/acs/en/funding-and-awards/grants/acscommunity/lsinnovativegran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