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4D47C8" w14:textId="428B184D" w:rsidR="00561DD0" w:rsidRPr="00C10954" w:rsidRDefault="00561DD0" w:rsidP="00C10954">
      <w:pPr>
        <w:spacing w:line="240" w:lineRule="auto"/>
        <w:contextualSpacing/>
        <w:jc w:val="center"/>
        <w:rPr>
          <w:bCs/>
        </w:rPr>
      </w:pPr>
      <w:r w:rsidRPr="00C10954">
        <w:rPr>
          <w:bCs/>
        </w:rPr>
        <w:t>Thomas Owens</w:t>
      </w:r>
    </w:p>
    <w:p w14:paraId="6D302985" w14:textId="07F3D9A8" w:rsidR="00C10954" w:rsidRPr="00C10954" w:rsidRDefault="00C10954" w:rsidP="00C10954">
      <w:pPr>
        <w:spacing w:line="240" w:lineRule="auto"/>
        <w:contextualSpacing/>
        <w:jc w:val="center"/>
        <w:rPr>
          <w:bCs/>
        </w:rPr>
      </w:pPr>
      <w:r w:rsidRPr="00C10954">
        <w:rPr>
          <w:bCs/>
        </w:rPr>
        <w:t>Ph.D. Candidate, University of Southern Mississippi</w:t>
      </w:r>
    </w:p>
    <w:p w14:paraId="24378B4A" w14:textId="3E337651" w:rsidR="00561DD0" w:rsidRPr="00C10954" w:rsidRDefault="00561DD0" w:rsidP="00C10954">
      <w:pPr>
        <w:spacing w:line="240" w:lineRule="auto"/>
        <w:contextualSpacing/>
        <w:jc w:val="center"/>
        <w:rPr>
          <w:bCs/>
        </w:rPr>
      </w:pPr>
      <w:r w:rsidRPr="00C10954">
        <w:rPr>
          <w:bCs/>
        </w:rPr>
        <w:t>February 22, 2024 at 3:30 pm</w:t>
      </w:r>
    </w:p>
    <w:p w14:paraId="574EDDD0" w14:textId="3309298E" w:rsidR="00561DD0" w:rsidRPr="00C10954" w:rsidRDefault="00561DD0" w:rsidP="00C10954">
      <w:pPr>
        <w:spacing w:line="240" w:lineRule="auto"/>
        <w:contextualSpacing/>
        <w:jc w:val="center"/>
        <w:rPr>
          <w:bCs/>
        </w:rPr>
      </w:pPr>
      <w:r w:rsidRPr="00C10954">
        <w:rPr>
          <w:bCs/>
        </w:rPr>
        <w:t>UNA Mitchell Burford Science and Technology Building Room 136</w:t>
      </w:r>
    </w:p>
    <w:p w14:paraId="018BF918" w14:textId="77777777" w:rsidR="00C10954" w:rsidRPr="00C10954" w:rsidRDefault="00C10954" w:rsidP="00C10954">
      <w:pPr>
        <w:spacing w:line="240" w:lineRule="auto"/>
        <w:contextualSpacing/>
        <w:jc w:val="center"/>
        <w:rPr>
          <w:bCs/>
        </w:rPr>
      </w:pPr>
    </w:p>
    <w:p w14:paraId="7C7D41AC" w14:textId="5218ED1D" w:rsidR="000D4847" w:rsidRPr="00C10954" w:rsidRDefault="000D4847" w:rsidP="00DB38DF">
      <w:pPr>
        <w:jc w:val="center"/>
      </w:pPr>
      <w:r w:rsidRPr="00C10954">
        <w:rPr>
          <w:bCs/>
        </w:rPr>
        <w:t xml:space="preserve">The Malonate Approach: A Mechanistic Insight on the Formation of 2-Thiohistidine for the Development of an Alternative Route and an Enantiomeric Excess Determination using </w:t>
      </w:r>
      <w:r w:rsidRPr="00C10954">
        <w:rPr>
          <w:bCs/>
          <w:vertAlign w:val="superscript"/>
        </w:rPr>
        <w:t>1</w:t>
      </w:r>
      <w:r w:rsidRPr="00C10954">
        <w:rPr>
          <w:bCs/>
        </w:rPr>
        <w:t>H-NMR of Isotope Labeled Substrates</w:t>
      </w:r>
    </w:p>
    <w:p w14:paraId="3E2B4BF3" w14:textId="058D4C88" w:rsidR="008828B2" w:rsidRDefault="000D4847" w:rsidP="00B8430F">
      <w:pPr>
        <w:jc w:val="both"/>
      </w:pPr>
      <w:r>
        <w:t>The</w:t>
      </w:r>
      <w:r w:rsidR="00C275C2">
        <w:t xml:space="preserve"> Malonate </w:t>
      </w:r>
      <w:r>
        <w:t>approach</w:t>
      </w:r>
      <w:r w:rsidR="00C275C2">
        <w:t xml:space="preserve"> offers easy access to various common and novel amino acids. With malonate being at the core of our synthesis, we have been able synthesize various novel amino acids. Our current interest is a histidine derivative. Peptides, like carnosine, which is found in mammals, contain the amino acid histidine where it exhibits antioxidants properties</w:t>
      </w:r>
      <w:r>
        <w:fldChar w:fldCharType="begin" w:fldLock="1"/>
      </w:r>
      <w:r>
        <w:instrText>ADDIN CSL_CITATION {"citationItems":[{"id":"ITEM-1","itemData":{"DOI":"10.1002/psc.3339","ISSN":"1075-2617","abstract":"Ergothioneine (EGT) is the betaine of 2</w:instrText>
      </w:r>
      <w:r>
        <w:rPr>
          <w:rFonts w:ascii="Cambria Math" w:hAnsi="Cambria Math" w:cs="Cambria Math"/>
        </w:rPr>
        <w:instrText>‐</w:instrText>
      </w:r>
      <w:r>
        <w:instrText>thiohistidine (2</w:instrText>
      </w:r>
      <w:r>
        <w:rPr>
          <w:rFonts w:ascii="Cambria Math" w:hAnsi="Cambria Math" w:cs="Cambria Math"/>
        </w:rPr>
        <w:instrText>‐</w:instrText>
      </w:r>
      <w:r>
        <w:instrText xml:space="preserve">thioHis) and may be the last undiscovered vitamin. EGT cannot be incorporated into a peptide because the </w:instrText>
      </w:r>
      <w:r>
        <w:rPr>
          <w:rFonts w:ascii="Aptos" w:hAnsi="Aptos" w:cs="Aptos"/>
        </w:rPr>
        <w:instrText>α</w:instrText>
      </w:r>
      <w:r>
        <w:rPr>
          <w:rFonts w:ascii="Cambria Math" w:hAnsi="Cambria Math" w:cs="Cambria Math"/>
        </w:rPr>
        <w:instrText>‐</w:instrText>
      </w:r>
      <w:r>
        <w:instrText>nitrogen is trimethylated, although this would be advantageous as an EGT</w:instrText>
      </w:r>
      <w:r>
        <w:rPr>
          <w:rFonts w:ascii="Cambria Math" w:hAnsi="Cambria Math" w:cs="Cambria Math"/>
        </w:rPr>
        <w:instrText>‐</w:instrText>
      </w:r>
      <w:r>
        <w:instrText>like moiety in a peptide would impart unique antioxidant and metal chelation properties. The amino acid 2</w:instrText>
      </w:r>
      <w:r>
        <w:rPr>
          <w:rFonts w:ascii="Cambria Math" w:hAnsi="Cambria Math" w:cs="Cambria Math"/>
        </w:rPr>
        <w:instrText>‐</w:instrText>
      </w:r>
      <w:r>
        <w:instrText>thioHis is an analogue of EGT and can be incorporated into a peptide, although there is only one reported occurrence of this in the literature. A likely reason is the harsh conditions reported for protection of the thione, with similarly harsh conditions used in order to achieve deprotection after synthesis. Here, we report a novel strategy for the incorporation of 2</w:instrText>
      </w:r>
      <w:r>
        <w:rPr>
          <w:rFonts w:ascii="Cambria Math" w:hAnsi="Cambria Math" w:cs="Cambria Math"/>
        </w:rPr>
        <w:instrText>‐</w:instrText>
      </w:r>
      <w:r>
        <w:instrText>thioHis into peptides in which we decided to leave the thione unprotected. This decision was based upon the reported low reactivity of EGT with 5,5</w:instrText>
      </w:r>
      <w:r>
        <w:rPr>
          <w:rFonts w:ascii="Aptos" w:hAnsi="Aptos" w:cs="Aptos"/>
        </w:rPr>
        <w:instrText>′</w:instrText>
      </w:r>
      <w:r>
        <w:rPr>
          <w:rFonts w:ascii="Cambria Math" w:hAnsi="Cambria Math" w:cs="Cambria Math"/>
        </w:rPr>
        <w:instrText>‐</w:instrText>
      </w:r>
      <w:r>
        <w:instrText>dithiobis(2</w:instrText>
      </w:r>
      <w:r>
        <w:rPr>
          <w:rFonts w:ascii="Cambria Math" w:hAnsi="Cambria Math" w:cs="Cambria Math"/>
        </w:rPr>
        <w:instrText>‐</w:instrText>
      </w:r>
      <w:r>
        <w:instrText>nitrobenzoic acid) (DTNB), a very electrophilic disulfide. This strategy was successful, and we report here the synthesis of 2</w:instrText>
      </w:r>
      <w:r>
        <w:rPr>
          <w:rFonts w:ascii="Cambria Math" w:hAnsi="Cambria Math" w:cs="Cambria Math"/>
        </w:rPr>
        <w:instrText>‐</w:instrText>
      </w:r>
      <w:r>
        <w:instrText>thioHis analogues of carnosine (</w:instrText>
      </w:r>
      <w:r>
        <w:rPr>
          <w:rFonts w:ascii="Aptos" w:hAnsi="Aptos" w:cs="Aptos"/>
        </w:rPr>
        <w:instrText>β</w:instrText>
      </w:r>
      <w:r>
        <w:instrText>AH), GHK</w:instrText>
      </w:r>
      <w:r>
        <w:rPr>
          <w:rFonts w:ascii="Cambria Math" w:hAnsi="Cambria Math" w:cs="Cambria Math"/>
        </w:rPr>
        <w:instrText>‐</w:instrText>
      </w:r>
      <w:r>
        <w:instrText>tripeptide, and HGPLGPL. Each of these peptides contain a histidine (His) residue and possesses biological activity. Our results show that substitution of His with 2</w:instrText>
      </w:r>
      <w:r>
        <w:rPr>
          <w:rFonts w:ascii="Cambria Math" w:hAnsi="Cambria Math" w:cs="Cambria Math"/>
        </w:rPr>
        <w:instrText>‐</w:instrText>
      </w:r>
      <w:r>
        <w:instrText>thioHis imparts strong antioxidant, radical scavenging, and copper binding properties to the peptide. Notably, we found that the 2</w:instrText>
      </w:r>
      <w:r>
        <w:rPr>
          <w:rFonts w:ascii="Cambria Math" w:hAnsi="Cambria Math" w:cs="Cambria Math"/>
        </w:rPr>
        <w:instrText>‐</w:instrText>
      </w:r>
      <w:r>
        <w:instrText>thioHis analogue of GHK</w:instrText>
      </w:r>
      <w:r>
        <w:rPr>
          <w:rFonts w:ascii="Cambria Math" w:hAnsi="Cambria Math" w:cs="Cambria Math"/>
        </w:rPr>
        <w:instrText>‐</w:instrText>
      </w:r>
      <w:r>
        <w:instrText>tripeptide was able to completely quench the hydroxyl and ABTS radicals in our assays, and its antioxidant capacity was significantly greater than would be expected based on the antioxidant capacity of free 2</w:instrText>
      </w:r>
      <w:r>
        <w:rPr>
          <w:rFonts w:ascii="Cambria Math" w:hAnsi="Cambria Math" w:cs="Cambria Math"/>
        </w:rPr>
        <w:instrText>‐</w:instrText>
      </w:r>
      <w:r>
        <w:instrText>thioHis. Our work makes possible greater future use of 2</w:instrText>
      </w:r>
      <w:r>
        <w:rPr>
          <w:rFonts w:ascii="Cambria Math" w:hAnsi="Cambria Math" w:cs="Cambria Math"/>
        </w:rPr>
        <w:instrText>‐</w:instrText>
      </w:r>
      <w:r>
        <w:instrText>thioHis in peptides.","author":[{"dropping-particle":"","family":"Jenny","given":"Kaelyn A.","non-dropping-particle":"","parse-names":false,"suffix":""},{"dropping-particle":"","family":"Ruggles","given":"Erik L.","non-dropping-particle":"","parse-names":false,"suffix":""},{"dropping-particle":"","family":"Liptak","given":"Matthew D.","non-dropping-particle":"","parse-names":false,"suffix":""},{"dropping-particle":"","family":"Masterson","given":"Douglas S.","non-dropping-particle":"","parse-names":false,"suffix":""},{"dropping-particle":"","family":"Hondal","given":"Robert J.","non-dropping-particle":"","parse-names":false,"suffix":""}],"container-title":"Journal of Peptide Science","id":"ITEM-1","issue":"10","issued":{"date-parts":[["2021","10","18"]]},"page":"e3339","publisher":"John Wiley &amp; Sons, Ltd","title":"Ergothioneine in a peptide: Substitution of histidine with 2</w:instrText>
      </w:r>
      <w:r>
        <w:rPr>
          <w:rFonts w:ascii="Cambria Math" w:hAnsi="Cambria Math" w:cs="Cambria Math"/>
        </w:rPr>
        <w:instrText>‐</w:instrText>
      </w:r>
      <w:r>
        <w:instrText>thiohistidine in bioactive peptides","type":"article-journal","volume":"27"},"uris":["http://www.mendeley.com/documents/?uuid=2bb14c63-7d50-30e8-ad98-91c8c7ff2667"]}],"mendeley":{"formattedCitation":"&lt;sup&gt;1&lt;/sup&gt;","plainTextFormattedCitation":"1"},"properties":{"noteIndex":0},"schema":"https://github.com/citation-style-language/schema/raw/master/csl-citation.json"}</w:instrText>
      </w:r>
      <w:r>
        <w:fldChar w:fldCharType="separate"/>
      </w:r>
      <w:r w:rsidRPr="000D4847">
        <w:rPr>
          <w:noProof/>
          <w:vertAlign w:val="superscript"/>
        </w:rPr>
        <w:t>1</w:t>
      </w:r>
      <w:r>
        <w:fldChar w:fldCharType="end"/>
      </w:r>
      <w:r w:rsidR="00C275C2">
        <w:t>. Replacement of histidine with 2-thiohistid</w:t>
      </w:r>
      <w:r w:rsidR="00D73829">
        <w:t>in</w:t>
      </w:r>
      <w:r w:rsidR="00C275C2">
        <w:t xml:space="preserve">e has been proven to increase the antioxidant properties of carnosine. </w:t>
      </w:r>
      <w:r w:rsidR="00F533F8">
        <w:t>Our initial use of malonate chemistry was in effort to synthesize</w:t>
      </w:r>
      <w:r>
        <w:t xml:space="preserve"> an</w:t>
      </w:r>
      <w:r w:rsidR="00F533F8">
        <w:t xml:space="preserve"> enantio</w:t>
      </w:r>
      <w:r w:rsidR="00D73829">
        <w:t>enrich</w:t>
      </w:r>
      <w:r>
        <w:t>ed mixture of</w:t>
      </w:r>
      <w:r w:rsidR="00F533F8">
        <w:t xml:space="preserve"> 2-thiohisti</w:t>
      </w:r>
      <w:r>
        <w:t>d</w:t>
      </w:r>
      <w:r w:rsidR="00F533F8">
        <w:t xml:space="preserve">ine </w:t>
      </w:r>
      <w:r w:rsidR="00D73829">
        <w:t xml:space="preserve">using </w:t>
      </w:r>
      <w:r w:rsidR="00F533F8">
        <w:t xml:space="preserve">pig liver esterase </w:t>
      </w:r>
      <w:r w:rsidR="00D73829">
        <w:t xml:space="preserve">(PLE) </w:t>
      </w:r>
      <w:r w:rsidR="00F533F8">
        <w:t>for enzyme catalysis.</w:t>
      </w:r>
      <w:r w:rsidR="00B8430F">
        <w:t xml:space="preserve"> </w:t>
      </w:r>
      <w:r w:rsidR="00D73829">
        <w:t xml:space="preserve">Previously, </w:t>
      </w:r>
      <w:r w:rsidR="00B8430F">
        <w:t xml:space="preserve">2-thiohistidine has been synthesized by </w:t>
      </w:r>
      <w:proofErr w:type="spellStart"/>
      <w:r w:rsidR="00D73829">
        <w:t>E</w:t>
      </w:r>
      <w:r w:rsidR="00B8430F">
        <w:t>rdelmeier</w:t>
      </w:r>
      <w:proofErr w:type="spellEnd"/>
      <w:r w:rsidR="00B8430F">
        <w:t xml:space="preserve"> with low yields via a </w:t>
      </w:r>
      <w:proofErr w:type="spellStart"/>
      <w:r w:rsidR="00B8430F">
        <w:t>bromolactone</w:t>
      </w:r>
      <w:proofErr w:type="spellEnd"/>
      <w:r w:rsidR="00B8430F">
        <w:t xml:space="preserve"> intermediate</w:t>
      </w:r>
      <w:r>
        <w:fldChar w:fldCharType="begin" w:fldLock="1"/>
      </w:r>
      <w:r>
        <w:instrText>ADDIN CSL_CITATION {"citationItems":[{"id":"ITEM-1","itemData":{"DOI":"10.1039/c2gc35367a","ISSN":"1463-9262","abstract":"Biomass-derived cysteine was used as a sustainable sulfur source for the synthesis of rare sulfur-containing amino acids, such as l-ergothioneine (4), which might be a new vitamin, and various l- or d-2-thiohistidine compounds. Key in this simple, one-pot two-step procedure in water is a bromine-induced regioselective introduction of cysteine followed by a novel thermal cleavage reaction in the presence of thiols, a safer alternative to hazardous red phosphorus. Besides avoiding hazardous sulfur reagents, the new protecting-group-free approach reduces drastically the total number of steps, compared to described procedures. The main drawback, i.e. handling of liquid bromine as an activating and oxidizing reagent in water, was addressed by evaluating four alternative methods using in situ generation of bromine or HOBr, and first encouraging results are described. © 2012 The Royal Society of Chemistry.","author":[{"dropping-particle":"","family":"Erdelmeier","given":"Irene","non-dropping-particle":"","parse-names":false,"suffix":""},{"dropping-particle":"","family":"Daunay","given":"Sylvain","non-dropping-particle":"","parse-names":false,"suffix":""},{"dropping-particle":"","family":"Lebel","given":"Remi","non-dropping-particle":"","parse-names":false,"suffix":""},{"dropping-particle":"","family":"Farescour","given":"Laurence","non-dropping-particle":"","parse-names":false,"suffix":""},{"dropping-particle":"","family":"Yadan","given":"Jean-Claude","non-dropping-particle":"","parse-names":false,"suffix":""}],"container-title":"Green Chemistry","id":"ITEM-1","issue":"8","issued":{"date-parts":[["2012","8"]]},"page":"2256","title":"Cysteine as a sustainable sulfur reagent for the protecting-group-free synthesis of sulfur-containing amino acids: biomimetic synthesis of l-ergothioneine in water","type":"article-journal","volume":"14"},"uris":["http://www.mendeley.com/documents/?uuid=c5452f55-82b4-3fc6-977e-dd9c17a113f6"]}],"mendeley":{"formattedCitation":"&lt;sup&gt;2&lt;/sup&gt;","plainTextFormattedCitation":"2","previouslyFormattedCitation":"&lt;sup&gt;2&lt;/sup&gt;"},"properties":{"noteIndex":0},"schema":"https://github.com/citation-style-language/schema/raw/master/csl-citation.json"}</w:instrText>
      </w:r>
      <w:r>
        <w:fldChar w:fldCharType="separate"/>
      </w:r>
      <w:r w:rsidRPr="000D4847">
        <w:rPr>
          <w:noProof/>
          <w:vertAlign w:val="superscript"/>
        </w:rPr>
        <w:t>2</w:t>
      </w:r>
      <w:r>
        <w:fldChar w:fldCharType="end"/>
      </w:r>
      <w:r w:rsidR="00B8430F">
        <w:t xml:space="preserve">. </w:t>
      </w:r>
      <w:r w:rsidR="00D73829">
        <w:t xml:space="preserve">Our </w:t>
      </w:r>
      <w:r w:rsidR="00B8430F">
        <w:t xml:space="preserve">investigation into </w:t>
      </w:r>
      <w:r w:rsidR="00D73829">
        <w:t xml:space="preserve">the </w:t>
      </w:r>
      <w:r w:rsidR="00B8430F">
        <w:t>mechanism of cleavage</w:t>
      </w:r>
      <w:r w:rsidR="00D73829">
        <w:t xml:space="preserve"> of the resulting cysteine adduct</w:t>
      </w:r>
      <w:r w:rsidR="00B8430F">
        <w:t xml:space="preserve"> </w:t>
      </w:r>
      <w:r w:rsidR="00D73829">
        <w:t xml:space="preserve">has helped us identify an alternative route. Finally, in </w:t>
      </w:r>
      <w:r w:rsidR="00F533F8">
        <w:t xml:space="preserve">effort to </w:t>
      </w:r>
      <w:r w:rsidR="00B8430F">
        <w:t>better understand</w:t>
      </w:r>
      <w:r w:rsidR="00F533F8">
        <w:t xml:space="preserve"> the selectivity of</w:t>
      </w:r>
      <w:r w:rsidR="008F1AF4">
        <w:t xml:space="preserve"> various</w:t>
      </w:r>
      <w:r w:rsidR="00F533F8">
        <w:t xml:space="preserve"> PLE isoenzymes towards </w:t>
      </w:r>
      <w:r w:rsidR="00B8430F">
        <w:t>our malonate substrate</w:t>
      </w:r>
      <w:r w:rsidR="00D73829">
        <w:t>s</w:t>
      </w:r>
      <w:r w:rsidR="004C1F2A">
        <w:t>,</w:t>
      </w:r>
      <w:r w:rsidR="00B8430F">
        <w:t xml:space="preserve"> we designed an isotopically labeled probe that can be used to determine the enantioselectivity</w:t>
      </w:r>
      <w:r w:rsidR="00D73829">
        <w:t xml:space="preserve"> of a chiral mixture</w:t>
      </w:r>
      <w:r w:rsidR="00B8430F">
        <w:t xml:space="preserve"> by ratio metric measurements in </w:t>
      </w:r>
      <w:r w:rsidR="00B8430F">
        <w:rPr>
          <w:vertAlign w:val="superscript"/>
        </w:rPr>
        <w:t>1</w:t>
      </w:r>
      <w:r w:rsidR="00B8430F">
        <w:t>H-NMR</w:t>
      </w:r>
      <w:r w:rsidR="00D73829">
        <w:t>.</w:t>
      </w:r>
    </w:p>
    <w:p w14:paraId="3E998801" w14:textId="77777777" w:rsidR="000D4847" w:rsidRPr="00B8430F" w:rsidRDefault="000D4847" w:rsidP="00B8430F">
      <w:pPr>
        <w:jc w:val="both"/>
      </w:pPr>
    </w:p>
    <w:p w14:paraId="67BFD724" w14:textId="048C1067" w:rsidR="000D4847" w:rsidRPr="000D4847" w:rsidRDefault="000D4847" w:rsidP="000D4847">
      <w:pPr>
        <w:widowControl w:val="0"/>
        <w:autoSpaceDE w:val="0"/>
        <w:autoSpaceDN w:val="0"/>
        <w:adjustRightInd w:val="0"/>
        <w:spacing w:line="240" w:lineRule="auto"/>
        <w:ind w:left="640" w:hanging="640"/>
        <w:rPr>
          <w:rFonts w:ascii="Aptos" w:hAnsi="Aptos" w:cs="Times New Roman"/>
          <w:noProof/>
          <w:kern w:val="0"/>
        </w:rPr>
      </w:pPr>
      <w:r>
        <w:fldChar w:fldCharType="begin" w:fldLock="1"/>
      </w:r>
      <w:r>
        <w:instrText xml:space="preserve">ADDIN Mendeley Bibliography CSL_BIBLIOGRAPHY </w:instrText>
      </w:r>
      <w:r>
        <w:fldChar w:fldCharType="separate"/>
      </w:r>
      <w:r w:rsidRPr="000D4847">
        <w:rPr>
          <w:rFonts w:ascii="Aptos" w:hAnsi="Aptos" w:cs="Times New Roman"/>
          <w:noProof/>
          <w:kern w:val="0"/>
        </w:rPr>
        <w:t>1.</w:t>
      </w:r>
      <w:r w:rsidRPr="000D4847">
        <w:rPr>
          <w:rFonts w:ascii="Aptos" w:hAnsi="Aptos" w:cs="Times New Roman"/>
          <w:noProof/>
          <w:kern w:val="0"/>
        </w:rPr>
        <w:tab/>
        <w:t>Jenny, K. A.; Ruggles, E. L.; Liptak, M. D.; Masterson, D. S.; Hondal, R. J. Ergothioneine in a Peptide: Substitution of Histidine with 2</w:t>
      </w:r>
      <w:r w:rsidRPr="000D4847">
        <w:rPr>
          <w:rFonts w:ascii="Cambria Math" w:hAnsi="Cambria Math" w:cs="Cambria Math"/>
          <w:noProof/>
          <w:kern w:val="0"/>
        </w:rPr>
        <w:t>‐</w:t>
      </w:r>
      <w:r w:rsidRPr="000D4847">
        <w:rPr>
          <w:rFonts w:ascii="Aptos" w:hAnsi="Aptos" w:cs="Times New Roman"/>
          <w:noProof/>
          <w:kern w:val="0"/>
        </w:rPr>
        <w:t xml:space="preserve">thiohistidine in Bioactive Peptides. </w:t>
      </w:r>
      <w:r w:rsidRPr="000D4847">
        <w:rPr>
          <w:rFonts w:ascii="Aptos" w:hAnsi="Aptos" w:cs="Times New Roman"/>
          <w:i/>
          <w:iCs/>
          <w:noProof/>
          <w:kern w:val="0"/>
        </w:rPr>
        <w:t>J. Pept. Sci.</w:t>
      </w:r>
      <w:r w:rsidRPr="000D4847">
        <w:rPr>
          <w:rFonts w:ascii="Aptos" w:hAnsi="Aptos" w:cs="Times New Roman"/>
          <w:noProof/>
          <w:kern w:val="0"/>
        </w:rPr>
        <w:t xml:space="preserve"> </w:t>
      </w:r>
      <w:r w:rsidRPr="000D4847">
        <w:rPr>
          <w:rFonts w:ascii="Aptos" w:hAnsi="Aptos" w:cs="Times New Roman"/>
          <w:b/>
          <w:bCs/>
          <w:noProof/>
          <w:kern w:val="0"/>
        </w:rPr>
        <w:t>2021</w:t>
      </w:r>
      <w:r w:rsidRPr="000D4847">
        <w:rPr>
          <w:rFonts w:ascii="Aptos" w:hAnsi="Aptos" w:cs="Times New Roman"/>
          <w:noProof/>
          <w:kern w:val="0"/>
        </w:rPr>
        <w:t xml:space="preserve">, </w:t>
      </w:r>
      <w:r w:rsidRPr="000D4847">
        <w:rPr>
          <w:rFonts w:ascii="Aptos" w:hAnsi="Aptos" w:cs="Times New Roman"/>
          <w:i/>
          <w:iCs/>
          <w:noProof/>
          <w:kern w:val="0"/>
        </w:rPr>
        <w:t>27</w:t>
      </w:r>
      <w:r w:rsidRPr="000D4847">
        <w:rPr>
          <w:rFonts w:ascii="Aptos" w:hAnsi="Aptos" w:cs="Times New Roman"/>
          <w:noProof/>
          <w:kern w:val="0"/>
        </w:rPr>
        <w:t xml:space="preserve"> (10), e3339.</w:t>
      </w:r>
    </w:p>
    <w:p w14:paraId="45AD6FCC" w14:textId="77777777" w:rsidR="000D4847" w:rsidRPr="000D4847" w:rsidRDefault="000D4847" w:rsidP="000D4847">
      <w:pPr>
        <w:widowControl w:val="0"/>
        <w:autoSpaceDE w:val="0"/>
        <w:autoSpaceDN w:val="0"/>
        <w:adjustRightInd w:val="0"/>
        <w:spacing w:line="240" w:lineRule="auto"/>
        <w:ind w:left="640" w:hanging="640"/>
        <w:rPr>
          <w:rFonts w:ascii="Aptos" w:hAnsi="Aptos"/>
          <w:noProof/>
        </w:rPr>
      </w:pPr>
      <w:r w:rsidRPr="000D4847">
        <w:rPr>
          <w:rFonts w:ascii="Aptos" w:hAnsi="Aptos" w:cs="Times New Roman"/>
          <w:noProof/>
          <w:kern w:val="0"/>
        </w:rPr>
        <w:t>2.</w:t>
      </w:r>
      <w:r w:rsidRPr="000D4847">
        <w:rPr>
          <w:rFonts w:ascii="Aptos" w:hAnsi="Aptos" w:cs="Times New Roman"/>
          <w:noProof/>
          <w:kern w:val="0"/>
        </w:rPr>
        <w:tab/>
        <w:t xml:space="preserve">Erdelmeier, I.; Daunay, S.; Lebel, R.; Farescour, L.; Yadan, J.-C. Cysteine as a Sustainable Sulfur Reagent for the Protecting-Group-Free Synthesis of Sulfur-Containing Amino Acids: Biomimetic Synthesis of l-Ergothioneine in Water. </w:t>
      </w:r>
      <w:r w:rsidRPr="000D4847">
        <w:rPr>
          <w:rFonts w:ascii="Aptos" w:hAnsi="Aptos" w:cs="Times New Roman"/>
          <w:i/>
          <w:iCs/>
          <w:noProof/>
          <w:kern w:val="0"/>
        </w:rPr>
        <w:t>Green Chem.</w:t>
      </w:r>
      <w:r w:rsidRPr="000D4847">
        <w:rPr>
          <w:rFonts w:ascii="Aptos" w:hAnsi="Aptos" w:cs="Times New Roman"/>
          <w:noProof/>
          <w:kern w:val="0"/>
        </w:rPr>
        <w:t xml:space="preserve"> </w:t>
      </w:r>
      <w:r w:rsidRPr="000D4847">
        <w:rPr>
          <w:rFonts w:ascii="Aptos" w:hAnsi="Aptos" w:cs="Times New Roman"/>
          <w:b/>
          <w:bCs/>
          <w:noProof/>
          <w:kern w:val="0"/>
        </w:rPr>
        <w:t>2012</w:t>
      </w:r>
      <w:r w:rsidRPr="000D4847">
        <w:rPr>
          <w:rFonts w:ascii="Aptos" w:hAnsi="Aptos" w:cs="Times New Roman"/>
          <w:noProof/>
          <w:kern w:val="0"/>
        </w:rPr>
        <w:t xml:space="preserve">, </w:t>
      </w:r>
      <w:r w:rsidRPr="000D4847">
        <w:rPr>
          <w:rFonts w:ascii="Aptos" w:hAnsi="Aptos" w:cs="Times New Roman"/>
          <w:i/>
          <w:iCs/>
          <w:noProof/>
          <w:kern w:val="0"/>
        </w:rPr>
        <w:t>14</w:t>
      </w:r>
      <w:r w:rsidRPr="000D4847">
        <w:rPr>
          <w:rFonts w:ascii="Aptos" w:hAnsi="Aptos" w:cs="Times New Roman"/>
          <w:noProof/>
          <w:kern w:val="0"/>
        </w:rPr>
        <w:t xml:space="preserve"> (8), 2256.</w:t>
      </w:r>
    </w:p>
    <w:p w14:paraId="4BE0DC49" w14:textId="0A915207" w:rsidR="00C275C2" w:rsidRDefault="000D4847">
      <w:r>
        <w:fldChar w:fldCharType="end"/>
      </w:r>
    </w:p>
    <w:p w14:paraId="0B05E423" w14:textId="2D9B5E75" w:rsidR="00C275C2" w:rsidRDefault="00C275C2"/>
    <w:sectPr w:rsidR="00C275C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75C2"/>
    <w:rsid w:val="000A2D3E"/>
    <w:rsid w:val="000D4847"/>
    <w:rsid w:val="002C1DF5"/>
    <w:rsid w:val="004C1F2A"/>
    <w:rsid w:val="00561DD0"/>
    <w:rsid w:val="008150A8"/>
    <w:rsid w:val="008828B2"/>
    <w:rsid w:val="008F1AF4"/>
    <w:rsid w:val="00B76392"/>
    <w:rsid w:val="00B8430F"/>
    <w:rsid w:val="00C10954"/>
    <w:rsid w:val="00C275C2"/>
    <w:rsid w:val="00D73829"/>
    <w:rsid w:val="00DB38DF"/>
    <w:rsid w:val="00F533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8FD1B4"/>
  <w15:chartTrackingRefBased/>
  <w15:docId w15:val="{4FD374B8-0992-445A-8E3D-ECD422ADD2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275C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275C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275C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275C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275C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275C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275C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275C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275C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275C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275C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275C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275C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275C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275C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275C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275C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275C2"/>
    <w:rPr>
      <w:rFonts w:eastAsiaTheme="majorEastAsia" w:cstheme="majorBidi"/>
      <w:color w:val="272727" w:themeColor="text1" w:themeTint="D8"/>
    </w:rPr>
  </w:style>
  <w:style w:type="paragraph" w:styleId="Title">
    <w:name w:val="Title"/>
    <w:basedOn w:val="Normal"/>
    <w:next w:val="Normal"/>
    <w:link w:val="TitleChar"/>
    <w:uiPriority w:val="10"/>
    <w:qFormat/>
    <w:rsid w:val="00C275C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275C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275C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275C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275C2"/>
    <w:pPr>
      <w:spacing w:before="160"/>
      <w:jc w:val="center"/>
    </w:pPr>
    <w:rPr>
      <w:i/>
      <w:iCs/>
      <w:color w:val="404040" w:themeColor="text1" w:themeTint="BF"/>
    </w:rPr>
  </w:style>
  <w:style w:type="character" w:customStyle="1" w:styleId="QuoteChar">
    <w:name w:val="Quote Char"/>
    <w:basedOn w:val="DefaultParagraphFont"/>
    <w:link w:val="Quote"/>
    <w:uiPriority w:val="29"/>
    <w:rsid w:val="00C275C2"/>
    <w:rPr>
      <w:i/>
      <w:iCs/>
      <w:color w:val="404040" w:themeColor="text1" w:themeTint="BF"/>
    </w:rPr>
  </w:style>
  <w:style w:type="paragraph" w:styleId="ListParagraph">
    <w:name w:val="List Paragraph"/>
    <w:basedOn w:val="Normal"/>
    <w:uiPriority w:val="34"/>
    <w:qFormat/>
    <w:rsid w:val="00C275C2"/>
    <w:pPr>
      <w:ind w:left="720"/>
      <w:contextualSpacing/>
    </w:pPr>
  </w:style>
  <w:style w:type="character" w:styleId="IntenseEmphasis">
    <w:name w:val="Intense Emphasis"/>
    <w:basedOn w:val="DefaultParagraphFont"/>
    <w:uiPriority w:val="21"/>
    <w:qFormat/>
    <w:rsid w:val="00C275C2"/>
    <w:rPr>
      <w:i/>
      <w:iCs/>
      <w:color w:val="0F4761" w:themeColor="accent1" w:themeShade="BF"/>
    </w:rPr>
  </w:style>
  <w:style w:type="paragraph" w:styleId="IntenseQuote">
    <w:name w:val="Intense Quote"/>
    <w:basedOn w:val="Normal"/>
    <w:next w:val="Normal"/>
    <w:link w:val="IntenseQuoteChar"/>
    <w:uiPriority w:val="30"/>
    <w:qFormat/>
    <w:rsid w:val="00C275C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275C2"/>
    <w:rPr>
      <w:i/>
      <w:iCs/>
      <w:color w:val="0F4761" w:themeColor="accent1" w:themeShade="BF"/>
    </w:rPr>
  </w:style>
  <w:style w:type="character" w:styleId="IntenseReference">
    <w:name w:val="Intense Reference"/>
    <w:basedOn w:val="DefaultParagraphFont"/>
    <w:uiPriority w:val="32"/>
    <w:qFormat/>
    <w:rsid w:val="00C275C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5261E4-DC81-4DAA-808C-3570E5E23C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1101</Words>
  <Characters>6279</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Owens</dc:creator>
  <cp:keywords/>
  <dc:description/>
  <cp:lastModifiedBy>Stopera, Christopher J</cp:lastModifiedBy>
  <cp:revision>2</cp:revision>
  <dcterms:created xsi:type="dcterms:W3CDTF">2024-02-14T07:13:00Z</dcterms:created>
  <dcterms:modified xsi:type="dcterms:W3CDTF">2024-02-14T07:13:00Z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e668adbf-baf2-39ce-aa43-a7f48e1d77e4</vt:lpwstr>
  </property>
  <property fmtid="{D5CDD505-2E9C-101B-9397-08002B2CF9AE}" pid="4" name="Mendeley Citation Style_1">
    <vt:lpwstr>http://csl.mendeley.com/styles/564861441/american-chemical-society</vt:lpwstr>
  </property>
  <property fmtid="{D5CDD505-2E9C-101B-9397-08002B2CF9AE}" pid="5" name="Mendeley Recent Style Id 0_1">
    <vt:lpwstr>http://www.zotero.org/styles/american-chemical-society</vt:lpwstr>
  </property>
  <property fmtid="{D5CDD505-2E9C-101B-9397-08002B2CF9AE}" pid="6" name="Mendeley Recent Style Name 0_1">
    <vt:lpwstr>American Chemical Society</vt:lpwstr>
  </property>
  <property fmtid="{D5CDD505-2E9C-101B-9397-08002B2CF9AE}" pid="7" name="Mendeley Recent Style Id 1_1">
    <vt:lpwstr>http://csl.mendeley.com/styles/564861441/american-chemical-society</vt:lpwstr>
  </property>
  <property fmtid="{D5CDD505-2E9C-101B-9397-08002B2CF9AE}" pid="8" name="Mendeley Recent Style Name 1_1">
    <vt:lpwstr>American Chemical Society - Thomas Owens</vt:lpwstr>
  </property>
  <property fmtid="{D5CDD505-2E9C-101B-9397-08002B2CF9AE}" pid="9" name="Mendeley Recent Style Id 2_1">
    <vt:lpwstr>http://www.zotero.org/styles/american-medical-association</vt:lpwstr>
  </property>
  <property fmtid="{D5CDD505-2E9C-101B-9397-08002B2CF9AE}" pid="10" name="Mendeley Recent Style Name 2_1">
    <vt:lpwstr>American Medical Association 11th edition</vt:lpwstr>
  </property>
  <property fmtid="{D5CDD505-2E9C-101B-9397-08002B2CF9AE}" pid="11" name="Mendeley Recent Style Id 3_1">
    <vt:lpwstr>http://www.zotero.org/styles/american-political-science-association</vt:lpwstr>
  </property>
  <property fmtid="{D5CDD505-2E9C-101B-9397-08002B2CF9AE}" pid="12" name="Mendeley Recent Style Name 3_1">
    <vt:lpwstr>American Political Science Association</vt:lpwstr>
  </property>
  <property fmtid="{D5CDD505-2E9C-101B-9397-08002B2CF9AE}" pid="13" name="Mendeley Recent Style Id 4_1">
    <vt:lpwstr>http://www.zotero.org/styles/apa</vt:lpwstr>
  </property>
  <property fmtid="{D5CDD505-2E9C-101B-9397-08002B2CF9AE}" pid="14" name="Mendeley Recent Style Name 4_1">
    <vt:lpwstr>American Psychological Association 7th edition</vt:lpwstr>
  </property>
  <property fmtid="{D5CDD505-2E9C-101B-9397-08002B2CF9AE}" pid="15" name="Mendeley Recent Style Id 5_1">
    <vt:lpwstr>http://www.zotero.org/styles/american-sociological-association</vt:lpwstr>
  </property>
  <property fmtid="{D5CDD505-2E9C-101B-9397-08002B2CF9AE}" pid="16" name="Mendeley Recent Style Name 5_1">
    <vt:lpwstr>American Sociological Association 6th edition</vt:lpwstr>
  </property>
  <property fmtid="{D5CDD505-2E9C-101B-9397-08002B2CF9AE}" pid="17" name="Mendeley Recent Style Id 6_1">
    <vt:lpwstr>http://www.zotero.org/styles/chicago-author-date</vt:lpwstr>
  </property>
  <property fmtid="{D5CDD505-2E9C-101B-9397-08002B2CF9AE}" pid="18" name="Mendeley Recent Style Name 6_1">
    <vt:lpwstr>Chicago Manual of Style 17th edition (author-date)</vt:lpwstr>
  </property>
  <property fmtid="{D5CDD505-2E9C-101B-9397-08002B2CF9AE}" pid="19" name="Mendeley Recent Style Id 7_1">
    <vt:lpwstr>http://www.zotero.org/styles/harvard-cite-them-right</vt:lpwstr>
  </property>
  <property fmtid="{D5CDD505-2E9C-101B-9397-08002B2CF9AE}" pid="20" name="Mendeley Recent Style Name 7_1">
    <vt:lpwstr>Cite Them Right 10th edition - Harvard</vt:lpwstr>
  </property>
  <property fmtid="{D5CDD505-2E9C-101B-9397-08002B2CF9AE}" pid="21" name="Mendeley Recent Style Id 8_1">
    <vt:lpwstr>http://www.zotero.org/styles/ieee</vt:lpwstr>
  </property>
  <property fmtid="{D5CDD505-2E9C-101B-9397-08002B2CF9AE}" pid="22" name="Mendeley Recent Style Name 8_1">
    <vt:lpwstr>IEEE</vt:lpwstr>
  </property>
  <property fmtid="{D5CDD505-2E9C-101B-9397-08002B2CF9AE}" pid="23" name="Mendeley Recent Style Id 9_1">
    <vt:lpwstr>http://www.zotero.org/styles/modern-humanities-research-association</vt:lpwstr>
  </property>
  <property fmtid="{D5CDD505-2E9C-101B-9397-08002B2CF9AE}" pid="24" name="Mendeley Recent Style Name 9_1">
    <vt:lpwstr>Modern Humanities Research Association 3rd edition (note with bibliography)</vt:lpwstr>
  </property>
</Properties>
</file>